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8A173">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 w:eastAsia="zh-CN"/>
        </w:rPr>
        <w:t>附件</w:t>
      </w:r>
      <w:r>
        <w:rPr>
          <w:rFonts w:hint="eastAsia" w:ascii="黑体" w:hAnsi="黑体" w:eastAsia="黑体" w:cs="黑体"/>
          <w:color w:val="auto"/>
          <w:sz w:val="32"/>
          <w:szCs w:val="32"/>
          <w:lang w:val="en-US" w:eastAsia="zh-CN"/>
        </w:rPr>
        <w:t>2</w:t>
      </w:r>
    </w:p>
    <w:p w14:paraId="64A013A4">
      <w:pPr>
        <w:rPr>
          <w:rFonts w:hint="default"/>
          <w:color w:val="FF0000"/>
          <w:lang w:val="en"/>
        </w:rPr>
      </w:pPr>
    </w:p>
    <w:p w14:paraId="6F166582">
      <w:pPr>
        <w:jc w:val="center"/>
        <w:rPr>
          <w:rFonts w:hint="eastAsia" w:ascii="宋体" w:hAnsi="宋体" w:eastAsia="宋体" w:cs="宋体"/>
          <w:color w:val="FF0000"/>
          <w:sz w:val="44"/>
          <w:szCs w:val="44"/>
          <w:lang w:val="en"/>
        </w:rPr>
      </w:pPr>
    </w:p>
    <w:p w14:paraId="2913661A">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甘肃省嘉峪关公路事业发展中心镜铁公路段关于202</w:t>
      </w:r>
      <w:r>
        <w:rPr>
          <w:rFonts w:hint="eastAsia" w:ascii="方正小标宋_GBK" w:eastAsia="方正小标宋_GBK"/>
          <w:sz w:val="44"/>
          <w:szCs w:val="44"/>
          <w:lang w:val="en-US" w:eastAsia="zh-CN"/>
        </w:rPr>
        <w:t>3</w:t>
      </w:r>
      <w:r>
        <w:rPr>
          <w:rFonts w:hint="eastAsia" w:ascii="方正小标宋_GBK" w:eastAsia="方正小标宋_GBK"/>
          <w:sz w:val="44"/>
          <w:szCs w:val="44"/>
        </w:rPr>
        <w:t>年度部门预算绩效</w:t>
      </w:r>
    </w:p>
    <w:p w14:paraId="2DA6BAA1">
      <w:pPr>
        <w:spacing w:line="560" w:lineRule="exact"/>
        <w:jc w:val="center"/>
        <w:rPr>
          <w:rFonts w:ascii="方正小标宋_GBK" w:eastAsia="方正小标宋_GBK"/>
          <w:sz w:val="44"/>
          <w:szCs w:val="44"/>
        </w:rPr>
      </w:pPr>
      <w:r>
        <w:rPr>
          <w:rFonts w:hint="eastAsia" w:ascii="方正小标宋_GBK" w:eastAsia="方正小标宋_GBK"/>
          <w:sz w:val="44"/>
          <w:szCs w:val="44"/>
        </w:rPr>
        <w:t>自评情况的报告</w:t>
      </w:r>
    </w:p>
    <w:p w14:paraId="250668F8">
      <w:pPr>
        <w:rPr>
          <w:rFonts w:hint="eastAsia" w:ascii="仿宋_GB2312" w:hAnsi="仿宋_GB2312" w:eastAsia="仿宋_GB2312" w:cs="仿宋_GB2312"/>
          <w:color w:val="auto"/>
          <w:sz w:val="32"/>
          <w:szCs w:val="32"/>
          <w:lang w:val="en"/>
        </w:rPr>
      </w:pPr>
    </w:p>
    <w:p w14:paraId="346FCFFD">
      <w:pPr>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 xml:space="preserve">    </w:t>
      </w:r>
      <w:r>
        <w:rPr>
          <w:rFonts w:hint="eastAsia" w:ascii="黑体" w:hAnsi="黑体" w:eastAsia="黑体" w:cs="黑体"/>
          <w:color w:val="auto"/>
          <w:sz w:val="32"/>
          <w:szCs w:val="32"/>
          <w:lang w:val="en"/>
        </w:rPr>
        <w:t>一、基本情况</w:t>
      </w:r>
    </w:p>
    <w:p w14:paraId="39EE228E">
      <w:pPr>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 xml:space="preserve">  </w:t>
      </w:r>
      <w:r>
        <w:rPr>
          <w:rFonts w:hint="eastAsia" w:ascii="楷体" w:hAnsi="楷体" w:eastAsia="楷体" w:cs="楷体"/>
          <w:b/>
          <w:bCs/>
          <w:color w:val="auto"/>
          <w:sz w:val="32"/>
          <w:szCs w:val="32"/>
          <w:lang w:val="en"/>
        </w:rPr>
        <w:t xml:space="preserve"> （一）部门主要职能。</w:t>
      </w:r>
    </w:p>
    <w:p w14:paraId="0BF9B7A8">
      <w:pPr>
        <w:spacing w:line="560" w:lineRule="exact"/>
        <w:ind w:firstLine="600"/>
        <w:rPr>
          <w:rFonts w:hint="eastAsia" w:ascii="仿宋_GB2312" w:hAnsi="仿宋_GB2312" w:eastAsia="仿宋_GB2312" w:cs="仿宋_GB2312"/>
          <w:color w:val="auto"/>
          <w:sz w:val="32"/>
          <w:szCs w:val="32"/>
          <w:lang w:val="en"/>
        </w:rPr>
      </w:pPr>
      <w:r>
        <w:rPr>
          <w:rFonts w:hint="eastAsia" w:ascii="仿宋" w:hAnsi="仿宋" w:eastAsia="仿宋" w:cs="仿宋"/>
          <w:sz w:val="32"/>
          <w:szCs w:val="32"/>
        </w:rPr>
        <w:t>甘肃省嘉峪关公路事业发展中心</w:t>
      </w:r>
      <w:r>
        <w:rPr>
          <w:rFonts w:hint="eastAsia" w:ascii="仿宋" w:hAnsi="仿宋" w:eastAsia="仿宋" w:cs="仿宋"/>
          <w:sz w:val="32"/>
          <w:szCs w:val="32"/>
          <w:lang w:eastAsia="zh-CN"/>
        </w:rPr>
        <w:t>镜铁公路段</w:t>
      </w:r>
      <w:r>
        <w:rPr>
          <w:rFonts w:hint="eastAsia" w:ascii="仿宋" w:hAnsi="仿宋" w:eastAsia="仿宋" w:cs="仿宋"/>
          <w:sz w:val="32"/>
          <w:szCs w:val="32"/>
        </w:rPr>
        <w:t>主要职能是承担接养的国省普通干线养护管理和保通保畅工作。</w:t>
      </w:r>
    </w:p>
    <w:p w14:paraId="6BB842A8">
      <w:pPr>
        <w:numPr>
          <w:ilvl w:val="0"/>
          <w:numId w:val="1"/>
        </w:numPr>
        <w:ind w:left="480" w:leftChars="0" w:firstLine="0" w:firstLineChars="0"/>
        <w:rPr>
          <w:rFonts w:hint="eastAsia" w:ascii="楷体" w:hAnsi="楷体" w:eastAsia="楷体" w:cs="楷体"/>
          <w:b/>
          <w:bCs/>
          <w:color w:val="auto"/>
          <w:sz w:val="32"/>
          <w:szCs w:val="32"/>
          <w:lang w:val="en"/>
        </w:rPr>
      </w:pPr>
      <w:r>
        <w:rPr>
          <w:rFonts w:hint="eastAsia" w:ascii="楷体" w:hAnsi="楷体" w:eastAsia="楷体" w:cs="楷体"/>
          <w:b/>
          <w:bCs/>
          <w:color w:val="auto"/>
          <w:sz w:val="32"/>
          <w:szCs w:val="32"/>
          <w:lang w:val="en"/>
        </w:rPr>
        <w:t>内设机构及所属单位概况。</w:t>
      </w:r>
    </w:p>
    <w:p w14:paraId="510D1281">
      <w:pPr>
        <w:numPr>
          <w:ilvl w:val="0"/>
          <w:numId w:val="0"/>
        </w:numPr>
        <w:ind w:firstLine="640" w:firstLineChars="200"/>
        <w:rPr>
          <w:rFonts w:hint="eastAsia" w:ascii="楷体" w:hAnsi="楷体" w:eastAsia="楷体" w:cs="楷体"/>
          <w:b/>
          <w:bCs/>
          <w:color w:val="auto"/>
          <w:sz w:val="32"/>
          <w:szCs w:val="32"/>
          <w:lang w:val="en"/>
        </w:rPr>
      </w:pPr>
      <w:r>
        <w:rPr>
          <w:rFonts w:hint="eastAsia" w:ascii="仿宋" w:hAnsi="仿宋" w:eastAsia="仿宋" w:cs="仿宋"/>
          <w:sz w:val="32"/>
          <w:szCs w:val="32"/>
        </w:rPr>
        <w:t>甘肃省嘉峪关公路</w:t>
      </w:r>
      <w:r>
        <w:rPr>
          <w:rFonts w:hint="eastAsia" w:ascii="仿宋" w:hAnsi="仿宋" w:eastAsia="仿宋" w:cs="仿宋"/>
          <w:sz w:val="32"/>
          <w:szCs w:val="32"/>
          <w:lang w:eastAsia="zh-CN"/>
        </w:rPr>
        <w:t>事业发展</w:t>
      </w:r>
      <w:r>
        <w:rPr>
          <w:rFonts w:hint="eastAsia" w:ascii="仿宋" w:hAnsi="仿宋" w:eastAsia="仿宋" w:cs="仿宋"/>
          <w:sz w:val="32"/>
          <w:szCs w:val="32"/>
        </w:rPr>
        <w:t>中心镜铁公路段成立于2010年4月，承担着S215线、S305线共计202.</w:t>
      </w:r>
      <w:r>
        <w:rPr>
          <w:rFonts w:hint="eastAsia" w:ascii="仿宋" w:hAnsi="仿宋" w:eastAsia="仿宋" w:cs="仿宋"/>
          <w:sz w:val="32"/>
          <w:szCs w:val="32"/>
          <w:lang w:val="en-US" w:eastAsia="zh-CN"/>
        </w:rPr>
        <w:t>8</w:t>
      </w:r>
      <w:r>
        <w:rPr>
          <w:rFonts w:hint="eastAsia" w:ascii="仿宋" w:hAnsi="仿宋" w:eastAsia="仿宋" w:cs="仿宋"/>
          <w:sz w:val="32"/>
          <w:szCs w:val="32"/>
        </w:rPr>
        <w:t>38公里的公路养护管理工作，管养桥梁34座，涵洞317道。全段现有职工</w:t>
      </w:r>
      <w:r>
        <w:rPr>
          <w:rFonts w:hint="eastAsia" w:ascii="仿宋" w:hAnsi="仿宋" w:eastAsia="仿宋" w:cs="仿宋"/>
          <w:sz w:val="32"/>
          <w:szCs w:val="32"/>
          <w:lang w:val="en-US" w:eastAsia="zh-CN"/>
        </w:rPr>
        <w:t>34</w:t>
      </w:r>
      <w:r>
        <w:rPr>
          <w:rFonts w:hint="eastAsia" w:ascii="仿宋" w:hAnsi="仿宋" w:eastAsia="仿宋" w:cs="仿宋"/>
          <w:sz w:val="32"/>
          <w:szCs w:val="32"/>
        </w:rPr>
        <w:t>人（借调人员</w:t>
      </w:r>
      <w:r>
        <w:rPr>
          <w:rFonts w:hint="eastAsia" w:ascii="仿宋" w:hAnsi="仿宋" w:eastAsia="仿宋" w:cs="仿宋"/>
          <w:sz w:val="32"/>
          <w:szCs w:val="32"/>
          <w:lang w:val="en-US" w:eastAsia="zh-CN"/>
        </w:rPr>
        <w:t>6</w:t>
      </w:r>
      <w:r>
        <w:rPr>
          <w:rFonts w:hint="eastAsia" w:ascii="仿宋" w:hAnsi="仿宋" w:eastAsia="仿宋" w:cs="仿宋"/>
          <w:sz w:val="32"/>
          <w:szCs w:val="32"/>
        </w:rPr>
        <w:t xml:space="preserve">人）。内设综合办公室、养护技术部、安全设备部、财务资产部4个职能管理部门，下设镜铁山养管站（含大泉口养管点）、玉门东养管站。   </w:t>
      </w:r>
      <w:r>
        <w:rPr>
          <w:rFonts w:hint="eastAsia" w:ascii="仿宋_GB2312" w:eastAsia="仿宋_GB2312"/>
          <w:szCs w:val="32"/>
        </w:rPr>
        <w:t xml:space="preserve"> </w:t>
      </w:r>
    </w:p>
    <w:p w14:paraId="511EC2F1">
      <w:pPr>
        <w:ind w:firstLine="640" w:firstLineChars="200"/>
        <w:rPr>
          <w:rFonts w:hint="eastAsia" w:ascii="仿宋_GB2312" w:hAnsi="仿宋_GB2312" w:eastAsia="仿宋_GB2312" w:cs="仿宋_GB2312"/>
          <w:color w:val="auto"/>
          <w:sz w:val="32"/>
          <w:szCs w:val="32"/>
          <w:lang w:val="en"/>
        </w:rPr>
      </w:pPr>
      <w:r>
        <w:rPr>
          <w:rFonts w:hint="eastAsia" w:ascii="黑体" w:hAnsi="黑体" w:eastAsia="黑体" w:cs="黑体"/>
          <w:color w:val="auto"/>
          <w:sz w:val="32"/>
          <w:szCs w:val="32"/>
          <w:lang w:val="en"/>
        </w:rPr>
        <w:t>二、绩效自评工作组织开展情况</w:t>
      </w:r>
    </w:p>
    <w:p w14:paraId="27F64E8A">
      <w:pPr>
        <w:spacing w:line="560" w:lineRule="exact"/>
        <w:ind w:firstLine="600"/>
        <w:rPr>
          <w:rFonts w:hint="eastAsia" w:ascii="仿宋" w:hAnsi="仿宋" w:eastAsia="仿宋" w:cs="仿宋"/>
          <w:sz w:val="32"/>
          <w:szCs w:val="32"/>
        </w:rPr>
      </w:pPr>
      <w:r>
        <w:rPr>
          <w:rFonts w:hint="eastAsia" w:ascii="仿宋" w:hAnsi="仿宋" w:eastAsia="仿宋" w:cs="仿宋"/>
          <w:sz w:val="32"/>
          <w:szCs w:val="32"/>
        </w:rPr>
        <w:t>为进一步强化预算绩效管理主体责任，提高绩效自评工作的完整性、准确性、规范性，我段对预算绩效工作开展了全面自查工作，进一步加强预算绩效管理，强化预算支出责任，硬化预算约束，提高财政资金使用效益， 按照《甘肃省嘉峪关公路事业发展中心预算绩效目标管理实施细则（试行）》的相关规定，持续规范预算绩效管理工作。</w:t>
      </w:r>
    </w:p>
    <w:p w14:paraId="66060BA1">
      <w:pPr>
        <w:spacing w:line="560" w:lineRule="exact"/>
        <w:ind w:firstLine="600"/>
        <w:rPr>
          <w:rFonts w:hint="eastAsia" w:ascii="仿宋" w:hAnsi="仿宋" w:eastAsia="仿宋" w:cs="仿宋"/>
          <w:color w:val="auto"/>
          <w:sz w:val="32"/>
          <w:szCs w:val="32"/>
          <w:lang w:val="en"/>
        </w:rPr>
      </w:pPr>
      <w:r>
        <w:rPr>
          <w:rFonts w:hint="eastAsia" w:ascii="仿宋" w:hAnsi="仿宋" w:eastAsia="仿宋" w:cs="仿宋"/>
          <w:sz w:val="32"/>
          <w:szCs w:val="32"/>
        </w:rPr>
        <w:t>通过事前绩效评估、绩效目标设定、绩效运行监控管理、绩效评价等程序，对全段预算资金支出的经济性、效益</w:t>
      </w:r>
      <w:r>
        <w:rPr>
          <w:rFonts w:hint="eastAsia" w:ascii="仿宋" w:hAnsi="仿宋" w:eastAsia="仿宋" w:cs="仿宋"/>
          <w:sz w:val="32"/>
          <w:szCs w:val="32"/>
          <w:lang w:eastAsia="zh-CN"/>
        </w:rPr>
        <w:t>性</w:t>
      </w:r>
      <w:r>
        <w:rPr>
          <w:rFonts w:hint="eastAsia" w:ascii="仿宋" w:hAnsi="仿宋" w:eastAsia="仿宋" w:cs="仿宋"/>
          <w:sz w:val="32"/>
          <w:szCs w:val="32"/>
        </w:rPr>
        <w:t>、效果性和可持续性进行的全过程的管理活动。</w:t>
      </w:r>
      <w:r>
        <w:rPr>
          <w:rFonts w:hint="eastAsia" w:ascii="仿宋" w:hAnsi="仿宋" w:eastAsia="仿宋" w:cs="仿宋"/>
          <w:b/>
          <w:bCs/>
          <w:sz w:val="32"/>
          <w:szCs w:val="32"/>
        </w:rPr>
        <w:t>一是</w:t>
      </w:r>
      <w:r>
        <w:rPr>
          <w:rFonts w:hint="eastAsia" w:ascii="仿宋" w:hAnsi="仿宋" w:eastAsia="仿宋" w:cs="仿宋"/>
          <w:sz w:val="32"/>
          <w:szCs w:val="32"/>
        </w:rPr>
        <w:t>加强对预算绩效管理的学习培训力度，邀请中心预算绩效管理方面业务人员为我段预算编制相关人员进行预算绩效管理专题培训，进一步</w:t>
      </w:r>
      <w:r>
        <w:rPr>
          <w:rFonts w:hint="eastAsia" w:ascii="仿宋" w:hAnsi="仿宋" w:eastAsia="仿宋" w:cs="仿宋"/>
          <w:kern w:val="0"/>
          <w:sz w:val="32"/>
          <w:szCs w:val="32"/>
        </w:rPr>
        <w:t>理清了开展预算绩效管理的工作思路，</w:t>
      </w:r>
      <w:r>
        <w:rPr>
          <w:rFonts w:hint="eastAsia" w:ascii="仿宋" w:hAnsi="仿宋" w:eastAsia="仿宋" w:cs="仿宋"/>
          <w:sz w:val="32"/>
          <w:szCs w:val="32"/>
        </w:rPr>
        <w:t>不断提高预算绩效管理知识储备。</w:t>
      </w:r>
      <w:r>
        <w:rPr>
          <w:rFonts w:hint="eastAsia" w:ascii="仿宋" w:hAnsi="仿宋" w:eastAsia="仿宋" w:cs="仿宋"/>
          <w:b/>
          <w:bCs/>
          <w:sz w:val="32"/>
          <w:szCs w:val="32"/>
        </w:rPr>
        <w:t>二是</w:t>
      </w:r>
      <w:r>
        <w:rPr>
          <w:rFonts w:hint="eastAsia" w:ascii="仿宋" w:hAnsi="仿宋" w:eastAsia="仿宋" w:cs="仿宋"/>
          <w:sz w:val="32"/>
          <w:szCs w:val="32"/>
        </w:rPr>
        <w:t>做好预算绩效公示工作，对202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年预算分解情况、预算绩效目标下达情况在中心网站进行公示，不断提高财政资金使用的透明度。</w:t>
      </w:r>
      <w:r>
        <w:rPr>
          <w:rFonts w:hint="eastAsia" w:ascii="仿宋" w:hAnsi="仿宋" w:eastAsia="仿宋" w:cs="仿宋"/>
          <w:b/>
          <w:bCs/>
          <w:sz w:val="32"/>
          <w:szCs w:val="32"/>
        </w:rPr>
        <w:t>三是</w:t>
      </w:r>
      <w:r>
        <w:rPr>
          <w:rFonts w:hint="eastAsia" w:ascii="仿宋" w:hAnsi="仿宋" w:eastAsia="仿宋" w:cs="仿宋"/>
          <w:sz w:val="32"/>
          <w:szCs w:val="32"/>
        </w:rPr>
        <w:t>对我单位1-9月预算</w:t>
      </w:r>
      <w:r>
        <w:rPr>
          <w:rFonts w:hint="eastAsia" w:ascii="仿宋" w:hAnsi="仿宋" w:eastAsia="仿宋" w:cs="仿宋"/>
          <w:sz w:val="32"/>
          <w:szCs w:val="32"/>
          <w:lang w:eastAsia="zh-CN"/>
        </w:rPr>
        <w:t>绩效情况</w:t>
      </w:r>
      <w:r>
        <w:rPr>
          <w:rFonts w:hint="eastAsia" w:ascii="仿宋" w:hAnsi="仿宋" w:eastAsia="仿宋" w:cs="仿宋"/>
          <w:sz w:val="32"/>
          <w:szCs w:val="32"/>
        </w:rPr>
        <w:t>进行监控，对项目实施情况进行全程跟踪检查，及时发现预算执行中存在的问题，为全年预算绩效管理工作打下坚实基础。</w:t>
      </w:r>
      <w:r>
        <w:rPr>
          <w:rFonts w:hint="eastAsia" w:ascii="仿宋" w:hAnsi="仿宋" w:eastAsia="仿宋" w:cs="仿宋"/>
          <w:b/>
          <w:bCs/>
          <w:sz w:val="32"/>
          <w:szCs w:val="32"/>
        </w:rPr>
        <w:t>四是</w:t>
      </w:r>
      <w:r>
        <w:rPr>
          <w:rFonts w:hint="eastAsia" w:ascii="仿宋" w:hAnsi="仿宋" w:eastAsia="仿宋" w:cs="仿宋"/>
          <w:sz w:val="32"/>
          <w:szCs w:val="32"/>
        </w:rPr>
        <w:t>扎实开展全年预算绩效自评工作，对部门整体支出（含基本支出）、各个项目支出进行综合性评价，包括绩效目标及各项指标完成情况、预算执行情况和与其相关的投入决策、过程管理、产出效益、履职效能、制度建设等，具体细化到经济效益、社会效益、生态效益、可持续影响力和服务对象满意度等绩效指标，找出了偏离绩效目标的原因，制定了下一步改进措施，全面反映全年预算绩效管理整体情况。</w:t>
      </w:r>
    </w:p>
    <w:p w14:paraId="51E21191">
      <w:pPr>
        <w:ind w:firstLine="640" w:firstLineChars="200"/>
        <w:rPr>
          <w:rFonts w:hint="eastAsia" w:ascii="黑体" w:hAnsi="黑体" w:eastAsia="黑体" w:cs="黑体"/>
          <w:color w:val="auto"/>
          <w:sz w:val="32"/>
          <w:szCs w:val="32"/>
          <w:lang w:val="en"/>
        </w:rPr>
      </w:pPr>
      <w:r>
        <w:rPr>
          <w:rFonts w:hint="eastAsia" w:ascii="黑体" w:hAnsi="黑体" w:eastAsia="黑体" w:cs="黑体"/>
          <w:color w:val="auto"/>
          <w:sz w:val="32"/>
          <w:szCs w:val="32"/>
          <w:lang w:val="en"/>
        </w:rPr>
        <w:t>三、部门整体支出绩效自评情况分析</w:t>
      </w:r>
      <w:r>
        <w:rPr>
          <w:rFonts w:hint="eastAsia" w:ascii="黑体" w:hAnsi="黑体" w:eastAsia="黑体" w:cs="黑体"/>
          <w:color w:val="auto"/>
          <w:sz w:val="32"/>
          <w:szCs w:val="32"/>
          <w:lang w:val="en"/>
        </w:rPr>
        <w:tab/>
      </w:r>
    </w:p>
    <w:p w14:paraId="101FC6CC">
      <w:pPr>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 xml:space="preserve">   </w:t>
      </w:r>
      <w:r>
        <w:rPr>
          <w:rFonts w:hint="eastAsia" w:ascii="楷体" w:hAnsi="楷体" w:eastAsia="楷体" w:cs="楷体"/>
          <w:b/>
          <w:bCs/>
          <w:color w:val="auto"/>
          <w:sz w:val="32"/>
          <w:szCs w:val="32"/>
          <w:lang w:val="en"/>
        </w:rPr>
        <w:t>（一）部门决算情况。</w:t>
      </w:r>
    </w:p>
    <w:p w14:paraId="1F26DED9">
      <w:pPr>
        <w:spacing w:line="560" w:lineRule="exact"/>
        <w:rPr>
          <w:rFonts w:hint="eastAsia" w:ascii="仿宋" w:hAnsi="仿宋" w:eastAsia="仿宋" w:cs="仿宋"/>
          <w:b/>
          <w:sz w:val="32"/>
          <w:szCs w:val="32"/>
        </w:rPr>
      </w:pPr>
      <w:r>
        <w:rPr>
          <w:rFonts w:hint="eastAsia" w:ascii="仿宋" w:hAnsi="仿宋" w:eastAsia="仿宋" w:cs="仿宋"/>
          <w:b/>
          <w:sz w:val="32"/>
          <w:szCs w:val="32"/>
        </w:rPr>
        <w:t xml:space="preserve"> </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1.收入情况</w:t>
      </w:r>
    </w:p>
    <w:p w14:paraId="592AD207">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年我段各项财政性资金收入总计</w:t>
      </w:r>
      <w:r>
        <w:rPr>
          <w:rFonts w:hint="eastAsia" w:ascii="仿宋" w:hAnsi="仿宋" w:eastAsia="仿宋" w:cs="仿宋"/>
          <w:sz w:val="32"/>
          <w:szCs w:val="32"/>
          <w:lang w:val="en-US" w:eastAsia="zh-CN"/>
        </w:rPr>
        <w:t>1002.637136</w:t>
      </w:r>
      <w:r>
        <w:rPr>
          <w:rFonts w:hint="eastAsia" w:ascii="仿宋" w:hAnsi="仿宋" w:eastAsia="仿宋" w:cs="仿宋"/>
          <w:sz w:val="32"/>
          <w:szCs w:val="32"/>
        </w:rPr>
        <w:t>万元</w:t>
      </w:r>
      <w:r>
        <w:rPr>
          <w:rFonts w:hint="eastAsia" w:ascii="仿宋" w:hAnsi="仿宋" w:eastAsia="仿宋" w:cs="仿宋"/>
          <w:sz w:val="32"/>
          <w:szCs w:val="32"/>
          <w:lang w:eastAsia="zh-CN"/>
        </w:rPr>
        <w:t>，其中成品油税费改革资金</w:t>
      </w:r>
      <w:r>
        <w:rPr>
          <w:rFonts w:hint="eastAsia" w:ascii="仿宋" w:hAnsi="仿宋" w:eastAsia="仿宋" w:cs="仿宋"/>
          <w:sz w:val="32"/>
          <w:szCs w:val="32"/>
          <w:lang w:val="en-US" w:eastAsia="zh-CN"/>
        </w:rPr>
        <w:t>889.457336万元，政府收费公路养护、管理资金53.1798万元，政府还贷二级公路取消收费后补助资金15万元，中央车辆购置税收入补助地方资金45万元</w:t>
      </w:r>
      <w:r>
        <w:rPr>
          <w:rFonts w:hint="eastAsia" w:ascii="仿宋" w:hAnsi="仿宋" w:eastAsia="仿宋" w:cs="仿宋"/>
          <w:sz w:val="32"/>
          <w:szCs w:val="32"/>
        </w:rPr>
        <w:t>。</w:t>
      </w:r>
    </w:p>
    <w:p w14:paraId="4DA15FED">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 xml:space="preserve"> 2.支出情况</w:t>
      </w:r>
    </w:p>
    <w:p w14:paraId="4ABF3168">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本年支出金额</w:t>
      </w:r>
      <w:r>
        <w:rPr>
          <w:rFonts w:hint="eastAsia" w:ascii="仿宋" w:hAnsi="仿宋" w:eastAsia="仿宋" w:cs="仿宋"/>
          <w:sz w:val="32"/>
          <w:szCs w:val="32"/>
          <w:lang w:eastAsia="zh-CN"/>
        </w:rPr>
        <w:t>总计</w:t>
      </w:r>
      <w:r>
        <w:rPr>
          <w:rFonts w:hint="eastAsia" w:ascii="仿宋" w:hAnsi="仿宋" w:eastAsia="仿宋" w:cs="仿宋"/>
          <w:sz w:val="32"/>
          <w:szCs w:val="32"/>
          <w:lang w:val="en-US" w:eastAsia="zh-CN"/>
        </w:rPr>
        <w:t>1002.637136</w:t>
      </w:r>
      <w:r>
        <w:rPr>
          <w:rFonts w:hint="eastAsia" w:ascii="仿宋" w:hAnsi="仿宋" w:eastAsia="仿宋" w:cs="仿宋"/>
          <w:sz w:val="32"/>
          <w:szCs w:val="32"/>
        </w:rPr>
        <w:t>万元</w:t>
      </w:r>
      <w:r>
        <w:rPr>
          <w:rFonts w:hint="eastAsia" w:ascii="仿宋" w:hAnsi="仿宋" w:eastAsia="仿宋" w:cs="仿宋"/>
          <w:sz w:val="32"/>
          <w:szCs w:val="32"/>
          <w:lang w:eastAsia="zh-CN"/>
        </w:rPr>
        <w:t>，其中成品油税费改革资金</w:t>
      </w:r>
      <w:r>
        <w:rPr>
          <w:rFonts w:hint="eastAsia" w:ascii="仿宋" w:hAnsi="仿宋" w:eastAsia="仿宋" w:cs="仿宋"/>
          <w:sz w:val="32"/>
          <w:szCs w:val="32"/>
          <w:lang w:val="en-US" w:eastAsia="zh-CN"/>
        </w:rPr>
        <w:t>889.457336万元，政府收费公路养护、管理资金53.1798万元，政府还贷二级公路取消收费后补助资金15万元，中央车辆购置税收入补助地方资金45万元</w:t>
      </w:r>
      <w:r>
        <w:rPr>
          <w:rFonts w:hint="eastAsia" w:ascii="仿宋" w:hAnsi="仿宋" w:eastAsia="仿宋" w:cs="仿宋"/>
          <w:sz w:val="32"/>
          <w:szCs w:val="32"/>
        </w:rPr>
        <w:t>。</w:t>
      </w:r>
    </w:p>
    <w:p w14:paraId="124508C1">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 xml:space="preserve"> 3.结转结余情况</w:t>
      </w:r>
    </w:p>
    <w:p w14:paraId="202801BE">
      <w:pPr>
        <w:spacing w:line="560" w:lineRule="exact"/>
        <w:ind w:firstLine="640" w:firstLineChars="200"/>
        <w:rPr>
          <w:rFonts w:hint="eastAsia" w:ascii="仿宋" w:hAnsi="仿宋" w:eastAsia="仿宋" w:cs="仿宋"/>
          <w:color w:val="auto"/>
          <w:sz w:val="32"/>
          <w:szCs w:val="32"/>
          <w:lang w:val="e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年当年无结转结余情况</w:t>
      </w:r>
      <w:r>
        <w:rPr>
          <w:rFonts w:hint="eastAsia" w:ascii="仿宋" w:hAnsi="仿宋" w:eastAsia="仿宋" w:cs="仿宋"/>
          <w:sz w:val="32"/>
          <w:szCs w:val="32"/>
          <w:lang w:eastAsia="zh-CN"/>
        </w:rPr>
        <w:t>。</w:t>
      </w:r>
    </w:p>
    <w:p w14:paraId="193E9476">
      <w:pPr>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 xml:space="preserve">  </w:t>
      </w:r>
      <w:r>
        <w:rPr>
          <w:rFonts w:hint="eastAsia" w:ascii="楷体" w:hAnsi="楷体" w:eastAsia="楷体" w:cs="楷体"/>
          <w:b/>
          <w:bCs/>
          <w:color w:val="auto"/>
          <w:sz w:val="32"/>
          <w:szCs w:val="32"/>
          <w:lang w:val="en"/>
        </w:rPr>
        <w:t xml:space="preserve"> （二）总体绩效目标完成情况分析。</w:t>
      </w:r>
    </w:p>
    <w:p w14:paraId="182075E6">
      <w:pPr>
        <w:spacing w:line="560" w:lineRule="exact"/>
        <w:ind w:firstLine="640" w:firstLineChars="200"/>
        <w:rPr>
          <w:rFonts w:hint="eastAsia" w:ascii="仿宋" w:hAnsi="仿宋" w:eastAsia="仿宋" w:cs="仿宋"/>
          <w:color w:val="auto"/>
          <w:sz w:val="32"/>
          <w:szCs w:val="32"/>
          <w:lang w:val="e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b/>
          <w:bCs/>
          <w:sz w:val="32"/>
          <w:szCs w:val="32"/>
        </w:rPr>
        <w:t>一是</w:t>
      </w:r>
      <w:r>
        <w:rPr>
          <w:rFonts w:hint="eastAsia" w:ascii="仿宋" w:hAnsi="仿宋" w:eastAsia="仿宋" w:cs="仿宋"/>
          <w:sz w:val="32"/>
          <w:szCs w:val="32"/>
        </w:rPr>
        <w:t>坚持以公路养护为中心，攻坚克难，积极落实“职能归位、职责落地”工作要求，不断改善公路通行条件。抓好日常养护保畅通，持续推进路域环境整治，及时开展日常养护，大力实施预防性养护，桥梁养护规范化，严格工程管理保质量。</w:t>
      </w:r>
      <w:r>
        <w:rPr>
          <w:rFonts w:hint="eastAsia" w:ascii="仿宋" w:hAnsi="仿宋" w:eastAsia="仿宋" w:cs="仿宋"/>
          <w:b/>
          <w:bCs/>
          <w:sz w:val="32"/>
          <w:szCs w:val="32"/>
        </w:rPr>
        <w:t>二是</w:t>
      </w:r>
      <w:r>
        <w:rPr>
          <w:rFonts w:hint="eastAsia" w:ascii="仿宋" w:hAnsi="仿宋" w:eastAsia="仿宋" w:cs="仿宋"/>
          <w:sz w:val="32"/>
          <w:szCs w:val="32"/>
        </w:rPr>
        <w:t>坚持以安全管理、应急保畅、综合管理为基础，负重致远，稳步提升服务保障和综合管理水平，夯实基础管理，细化会计基础工作，严格预算管理，严格执行计量支付，实行车机设备集中管理，推行绩效考核管理。</w:t>
      </w:r>
      <w:r>
        <w:rPr>
          <w:rFonts w:hint="eastAsia" w:ascii="仿宋" w:hAnsi="仿宋" w:eastAsia="仿宋" w:cs="仿宋"/>
          <w:b/>
          <w:bCs/>
          <w:sz w:val="32"/>
          <w:szCs w:val="32"/>
        </w:rPr>
        <w:t>三是</w:t>
      </w:r>
      <w:r>
        <w:rPr>
          <w:rFonts w:hint="eastAsia" w:ascii="仿宋" w:hAnsi="仿宋" w:eastAsia="仿宋" w:cs="仿宋"/>
          <w:sz w:val="32"/>
          <w:szCs w:val="32"/>
        </w:rPr>
        <w:t>坚持以改革创新为动力，精准施策，有效推进各项工作上升新高度</w:t>
      </w:r>
      <w:r>
        <w:rPr>
          <w:rFonts w:hint="eastAsia" w:ascii="仿宋" w:hAnsi="仿宋" w:eastAsia="仿宋" w:cs="仿宋"/>
          <w:sz w:val="32"/>
          <w:szCs w:val="32"/>
          <w:highlight w:val="none"/>
        </w:rPr>
        <w:t>。</w:t>
      </w:r>
      <w:r>
        <w:rPr>
          <w:rFonts w:hint="eastAsia" w:ascii="仿宋" w:hAnsi="仿宋" w:eastAsia="仿宋" w:cs="仿宋"/>
          <w:sz w:val="32"/>
          <w:szCs w:val="32"/>
        </w:rPr>
        <w:t>探索新材料、新工艺在公路工程中的应用，提升养护科技水平。整合视频资源，健全完善制度体系，提升规范化管理水平。建立健全内控制度，制定内控手册，开展档案工作规范化管理创建活动，</w:t>
      </w:r>
      <w:r>
        <w:rPr>
          <w:rFonts w:hint="eastAsia" w:ascii="仿宋" w:hAnsi="仿宋" w:eastAsia="仿宋" w:cs="仿宋"/>
          <w:sz w:val="32"/>
          <w:szCs w:val="32"/>
          <w:lang w:eastAsia="zh-CN"/>
        </w:rPr>
        <w:t>制度文件“废改立”工作，</w:t>
      </w:r>
      <w:r>
        <w:rPr>
          <w:rFonts w:hint="eastAsia" w:ascii="仿宋" w:hAnsi="仿宋" w:eastAsia="仿宋" w:cs="仿宋"/>
          <w:sz w:val="32"/>
          <w:szCs w:val="32"/>
        </w:rPr>
        <w:t>做好职工教育、走访慰问、职工体检、职工食堂等工作，切实保障职工福利待遇。</w:t>
      </w:r>
    </w:p>
    <w:p w14:paraId="11FEF516">
      <w:pPr>
        <w:numPr>
          <w:ilvl w:val="0"/>
          <w:numId w:val="1"/>
        </w:numPr>
        <w:ind w:left="480" w:leftChars="0" w:firstLine="0" w:firstLineChars="0"/>
        <w:rPr>
          <w:rFonts w:hint="eastAsia" w:ascii="楷体" w:hAnsi="楷体" w:eastAsia="楷体" w:cs="楷体"/>
          <w:b/>
          <w:bCs/>
          <w:color w:val="auto"/>
          <w:sz w:val="32"/>
          <w:szCs w:val="32"/>
          <w:lang w:val="en"/>
        </w:rPr>
      </w:pPr>
      <w:r>
        <w:rPr>
          <w:rFonts w:hint="eastAsia" w:ascii="楷体" w:hAnsi="楷体" w:eastAsia="楷体" w:cs="楷体"/>
          <w:b/>
          <w:bCs/>
          <w:color w:val="auto"/>
          <w:sz w:val="32"/>
          <w:szCs w:val="32"/>
          <w:lang w:val="en"/>
        </w:rPr>
        <w:t>各项指标完成情况分析。</w:t>
      </w:r>
    </w:p>
    <w:p w14:paraId="1153AAF4">
      <w:pPr>
        <w:spacing w:line="560" w:lineRule="exact"/>
        <w:ind w:firstLine="640" w:firstLineChars="200"/>
        <w:rPr>
          <w:rFonts w:hint="eastAsia" w:ascii="仿宋_GB2312" w:hAnsi="仿宋_GB2312" w:eastAsia="仿宋_GB2312" w:cs="仿宋_GB2312"/>
          <w:color w:val="auto"/>
          <w:sz w:val="32"/>
          <w:szCs w:val="32"/>
          <w:lang w:val="e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年，我段根据年初工作规划和重点性工作，以公路养护为中心开展工作，通过加强预算收支管理，不断建立健全内部管理制度，部门整体支出管理情况得到提升，较好</w:t>
      </w:r>
      <w:r>
        <w:rPr>
          <w:rFonts w:hint="eastAsia" w:ascii="仿宋" w:hAnsi="仿宋" w:eastAsia="仿宋" w:cs="仿宋"/>
          <w:sz w:val="32"/>
          <w:szCs w:val="32"/>
          <w:lang w:eastAsia="zh-CN"/>
        </w:rPr>
        <w:t>地</w:t>
      </w:r>
      <w:r>
        <w:rPr>
          <w:rFonts w:hint="eastAsia" w:ascii="仿宋" w:hAnsi="仿宋" w:eastAsia="仿宋" w:cs="仿宋"/>
          <w:sz w:val="32"/>
          <w:szCs w:val="32"/>
        </w:rPr>
        <w:t>完成了年度预算绩效目标。部门整体支出绩效情况如下：</w:t>
      </w:r>
      <w:r>
        <w:rPr>
          <w:rFonts w:hint="eastAsia" w:ascii="仿宋" w:hAnsi="仿宋" w:eastAsia="仿宋" w:cs="仿宋"/>
          <w:b/>
          <w:bCs/>
          <w:sz w:val="32"/>
          <w:szCs w:val="32"/>
        </w:rPr>
        <w:t>一是</w:t>
      </w:r>
      <w:r>
        <w:rPr>
          <w:rFonts w:hint="eastAsia" w:ascii="仿宋" w:hAnsi="仿宋" w:eastAsia="仿宋" w:cs="仿宋"/>
          <w:sz w:val="32"/>
          <w:szCs w:val="32"/>
        </w:rPr>
        <w:t>经济效益评价。预算执行方面，支出总额控制在预算总额以内。预算管理方面，制度执行总体较为有效。资产管理方面，建立了资产管理制度，定期进行了盘点和资产清理，总体执行较好。</w:t>
      </w:r>
      <w:r>
        <w:rPr>
          <w:rFonts w:hint="eastAsia" w:ascii="仿宋" w:hAnsi="仿宋" w:eastAsia="仿宋" w:cs="仿宋"/>
          <w:b/>
          <w:bCs/>
          <w:sz w:val="32"/>
          <w:szCs w:val="32"/>
        </w:rPr>
        <w:t>二是</w:t>
      </w:r>
      <w:r>
        <w:rPr>
          <w:rFonts w:hint="eastAsia" w:ascii="仿宋" w:hAnsi="仿宋" w:eastAsia="仿宋" w:cs="仿宋"/>
          <w:sz w:val="32"/>
          <w:szCs w:val="32"/>
        </w:rPr>
        <w:t>效率性评价和有效性评价。预算安排的基本支出保障了正常的工作运转，预算安排的项目支出在执行上、使用上是严格遵守各项财经纪律的严守法律底线、纪律底线、道德底线。</w:t>
      </w:r>
      <w:r>
        <w:rPr>
          <w:rFonts w:hint="eastAsia" w:ascii="仿宋" w:hAnsi="仿宋" w:eastAsia="仿宋" w:cs="仿宋"/>
          <w:b/>
          <w:bCs/>
          <w:sz w:val="32"/>
          <w:szCs w:val="32"/>
        </w:rPr>
        <w:t>三是</w:t>
      </w:r>
      <w:r>
        <w:rPr>
          <w:rFonts w:hint="eastAsia" w:ascii="仿宋" w:hAnsi="仿宋" w:eastAsia="仿宋" w:cs="仿宋"/>
          <w:sz w:val="32"/>
          <w:szCs w:val="32"/>
        </w:rPr>
        <w:t>社会公众满意度评价。通过今年小修保养及</w:t>
      </w:r>
      <w:r>
        <w:rPr>
          <w:rFonts w:hint="eastAsia" w:ascii="仿宋" w:hAnsi="仿宋" w:eastAsia="仿宋" w:cs="仿宋"/>
          <w:sz w:val="32"/>
          <w:szCs w:val="32"/>
          <w:lang w:eastAsia="zh-CN"/>
        </w:rPr>
        <w:t>“两个集中”</w:t>
      </w:r>
      <w:r>
        <w:rPr>
          <w:rFonts w:hint="eastAsia" w:ascii="仿宋" w:hAnsi="仿宋" w:eastAsia="仿宋" w:cs="仿宋"/>
          <w:sz w:val="32"/>
          <w:szCs w:val="32"/>
        </w:rPr>
        <w:t>工程的实施公路路况分项指标较上年有了显著提升，路域环境整治工程常态化，路域环境明显提升。小修保养质量达标，养护维修工程顺利完成交工验收，达到了为社会公众出行提供方便快捷的出</w:t>
      </w:r>
      <w:r>
        <w:rPr>
          <w:rFonts w:hint="eastAsia" w:ascii="仿宋" w:hAnsi="仿宋" w:eastAsia="仿宋" w:cs="仿宋"/>
          <w:sz w:val="32"/>
          <w:szCs w:val="32"/>
          <w:lang w:eastAsia="zh-CN"/>
        </w:rPr>
        <w:t>行</w:t>
      </w:r>
      <w:r>
        <w:rPr>
          <w:rFonts w:hint="eastAsia" w:ascii="仿宋" w:hAnsi="仿宋" w:eastAsia="仿宋" w:cs="仿宋"/>
          <w:sz w:val="32"/>
          <w:szCs w:val="32"/>
        </w:rPr>
        <w:t>环境的目标。</w:t>
      </w:r>
    </w:p>
    <w:p w14:paraId="04E49159">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
        </w:rPr>
        <w:t xml:space="preserve">   </w:t>
      </w:r>
      <w:r>
        <w:rPr>
          <w:rFonts w:hint="eastAsia" w:ascii="楷体" w:hAnsi="楷体" w:eastAsia="楷体" w:cs="楷体"/>
          <w:b/>
          <w:bCs/>
          <w:color w:val="auto"/>
          <w:sz w:val="32"/>
          <w:szCs w:val="32"/>
          <w:lang w:val="en"/>
        </w:rPr>
        <w:t>（四）偏离绩效目标的原因及下一步改进措施（包括总体绩效目标和核心绩效指标未完成原因、下一步改进措施，政策执行或部门预算管理中存在的问题、原因和改进措施）</w:t>
      </w:r>
      <w:r>
        <w:rPr>
          <w:rFonts w:hint="eastAsia" w:ascii="楷体" w:hAnsi="楷体" w:eastAsia="楷体" w:cs="楷体"/>
          <w:b/>
          <w:bCs/>
          <w:color w:val="auto"/>
          <w:sz w:val="32"/>
          <w:szCs w:val="32"/>
          <w:lang w:val="en-US" w:eastAsia="zh-CN"/>
        </w:rPr>
        <w:t xml:space="preserve"> </w:t>
      </w:r>
    </w:p>
    <w:p w14:paraId="14F49DA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我段在实际工作当中，在各级领导的关心和支持下，严格要求自己，遵守国家的法律法规，做到了财政资金的专款专用，认真执行各项财务制度，使财政资金的使用更加规范、合理。严格按照政府采购项目的要求办理政府采购手续，各项支出都严格按预算要求执行，没有部门预算规定项目之外的支出。同时，我们发现绩效目标出现了一些偏差：</w:t>
      </w:r>
      <w:r>
        <w:rPr>
          <w:rFonts w:hint="eastAsia" w:ascii="仿宋" w:hAnsi="仿宋" w:eastAsia="仿宋" w:cs="仿宋"/>
          <w:b/>
          <w:bCs/>
          <w:sz w:val="32"/>
          <w:szCs w:val="32"/>
        </w:rPr>
        <w:t>一是</w:t>
      </w:r>
      <w:r>
        <w:rPr>
          <w:rFonts w:hint="eastAsia" w:ascii="仿宋" w:hAnsi="仿宋" w:eastAsia="仿宋" w:cs="仿宋"/>
          <w:b w:val="0"/>
          <w:bCs w:val="0"/>
          <w:sz w:val="32"/>
          <w:szCs w:val="32"/>
          <w:lang w:val="en-US" w:eastAsia="zh-CN"/>
        </w:rPr>
        <w:t>6-9月小修保养绿化、路域环境整治等项目落后于序时进度</w:t>
      </w:r>
      <w:r>
        <w:rPr>
          <w:rFonts w:hint="eastAsia" w:ascii="仿宋" w:hAnsi="仿宋" w:eastAsia="仿宋" w:cs="仿宋"/>
          <w:sz w:val="32"/>
          <w:szCs w:val="32"/>
        </w:rPr>
        <w:t>。</w:t>
      </w:r>
      <w:r>
        <w:rPr>
          <w:rFonts w:hint="eastAsia" w:ascii="仿宋" w:hAnsi="仿宋" w:eastAsia="仿宋" w:cs="仿宋"/>
          <w:b/>
          <w:bCs/>
          <w:sz w:val="32"/>
          <w:szCs w:val="32"/>
        </w:rPr>
        <w:t>二是</w:t>
      </w:r>
      <w:r>
        <w:rPr>
          <w:rFonts w:hint="eastAsia" w:ascii="仿宋" w:hAnsi="仿宋" w:eastAsia="仿宋" w:cs="仿宋"/>
          <w:sz w:val="32"/>
          <w:szCs w:val="32"/>
        </w:rPr>
        <w:t>部分项目支出预算下达较迟，</w:t>
      </w:r>
      <w:r>
        <w:rPr>
          <w:rFonts w:hint="eastAsia" w:ascii="仿宋" w:hAnsi="仿宋" w:eastAsia="仿宋" w:cs="仿宋"/>
          <w:sz w:val="32"/>
          <w:szCs w:val="32"/>
          <w:lang w:eastAsia="zh-CN"/>
        </w:rPr>
        <w:t>后续工作预留时间短</w:t>
      </w:r>
      <w:r>
        <w:rPr>
          <w:rFonts w:hint="eastAsia" w:ascii="仿宋" w:hAnsi="仿宋" w:eastAsia="仿宋" w:cs="仿宋"/>
          <w:sz w:val="32"/>
          <w:szCs w:val="32"/>
        </w:rPr>
        <w:t>。</w:t>
      </w:r>
    </w:p>
    <w:p w14:paraId="71F7812E">
      <w:pPr>
        <w:spacing w:line="560" w:lineRule="exact"/>
        <w:ind w:firstLine="640" w:firstLineChars="200"/>
        <w:rPr>
          <w:rFonts w:hint="eastAsia" w:ascii="仿宋_GB2312" w:hAnsi="仿宋_GB2312" w:eastAsia="仿宋" w:cs="仿宋_GB2312"/>
          <w:color w:val="auto"/>
          <w:sz w:val="32"/>
          <w:szCs w:val="32"/>
          <w:lang w:val="en-US" w:eastAsia="zh-CN"/>
        </w:rPr>
      </w:pPr>
      <w:r>
        <w:rPr>
          <w:rFonts w:hint="eastAsia" w:ascii="仿宋" w:hAnsi="仿宋" w:eastAsia="仿宋" w:cs="仿宋"/>
          <w:sz w:val="32"/>
          <w:szCs w:val="32"/>
          <w:lang w:eastAsia="zh-CN"/>
        </w:rPr>
        <w:t>针对第一个问题我段采取的改进措施</w:t>
      </w:r>
      <w:r>
        <w:rPr>
          <w:rFonts w:hint="eastAsia" w:ascii="仿宋" w:hAnsi="仿宋" w:eastAsia="仿宋" w:cs="仿宋"/>
          <w:b/>
          <w:bCs/>
          <w:sz w:val="32"/>
          <w:szCs w:val="32"/>
          <w:lang w:eastAsia="zh-CN"/>
        </w:rPr>
        <w:t>一是</w:t>
      </w:r>
      <w:r>
        <w:rPr>
          <w:rFonts w:hint="eastAsia" w:ascii="仿宋" w:hAnsi="仿宋" w:eastAsia="仿宋" w:cs="仿宋"/>
          <w:sz w:val="32"/>
          <w:szCs w:val="32"/>
          <w:lang w:eastAsia="zh-CN"/>
        </w:rPr>
        <w:t>财务资产部牵头严把预算执行率，实行一月一报告制度，实时把握预算执行情况，及时发现问题解决问题；</w:t>
      </w:r>
      <w:r>
        <w:rPr>
          <w:rFonts w:hint="eastAsia" w:ascii="仿宋" w:hAnsi="仿宋" w:eastAsia="仿宋" w:cs="仿宋"/>
          <w:b/>
          <w:bCs/>
          <w:sz w:val="32"/>
          <w:szCs w:val="32"/>
          <w:lang w:eastAsia="zh-CN"/>
        </w:rPr>
        <w:t>二是</w:t>
      </w:r>
      <w:r>
        <w:rPr>
          <w:rFonts w:hint="eastAsia" w:ascii="仿宋" w:hAnsi="仿宋" w:eastAsia="仿宋" w:cs="仿宋"/>
          <w:sz w:val="32"/>
          <w:szCs w:val="32"/>
          <w:lang w:eastAsia="zh-CN"/>
        </w:rPr>
        <w:t>加强学习教育，提高各部门相关工作人员对此项工作的认识，整体提高管理水平。</w:t>
      </w:r>
    </w:p>
    <w:p w14:paraId="4406AE33">
      <w:pPr>
        <w:ind w:firstLine="640" w:firstLineChars="200"/>
        <w:rPr>
          <w:rFonts w:hint="eastAsia" w:ascii="仿宋_GB2312" w:hAnsi="仿宋_GB2312" w:eastAsia="仿宋_GB2312" w:cs="仿宋_GB2312"/>
          <w:color w:val="auto"/>
          <w:sz w:val="32"/>
          <w:szCs w:val="32"/>
          <w:lang w:val="en"/>
        </w:rPr>
      </w:pPr>
      <w:r>
        <w:rPr>
          <w:rFonts w:hint="eastAsia" w:ascii="黑体" w:hAnsi="黑体" w:eastAsia="黑体" w:cs="黑体"/>
          <w:color w:val="auto"/>
          <w:sz w:val="32"/>
          <w:szCs w:val="32"/>
          <w:lang w:val="en"/>
        </w:rPr>
        <w:t>四、部门预算项目支出绩效自评情况分析</w:t>
      </w:r>
      <w:r>
        <w:rPr>
          <w:rFonts w:hint="eastAsia" w:ascii="黑体" w:hAnsi="黑体" w:eastAsia="黑体" w:cs="黑体"/>
          <w:color w:val="auto"/>
          <w:sz w:val="32"/>
          <w:szCs w:val="32"/>
          <w:lang w:val="en"/>
        </w:rPr>
        <w:tab/>
      </w:r>
    </w:p>
    <w:p w14:paraId="5B900D31">
      <w:pPr>
        <w:spacing w:line="560" w:lineRule="exact"/>
        <w:rPr>
          <w:rFonts w:hint="eastAsia" w:ascii="仿宋" w:hAnsi="仿宋" w:eastAsia="仿宋" w:cs="仿宋"/>
          <w:sz w:val="32"/>
          <w:szCs w:val="32"/>
        </w:rPr>
      </w:pPr>
      <w:r>
        <w:rPr>
          <w:rFonts w:hint="eastAsia" w:ascii="仿宋_GB2312" w:hAnsi="仿宋_GB2312" w:eastAsia="仿宋_GB2312" w:cs="仿宋_GB2312"/>
          <w:color w:val="auto"/>
          <w:sz w:val="32"/>
          <w:szCs w:val="32"/>
          <w:lang w:val="e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 w:hAnsi="仿宋"/>
          <w:szCs w:val="32"/>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年，本部门预算项目财政拨款</w:t>
      </w:r>
      <w:r>
        <w:rPr>
          <w:rFonts w:hint="eastAsia" w:ascii="仿宋" w:hAnsi="仿宋" w:eastAsia="仿宋" w:cs="仿宋"/>
          <w:sz w:val="32"/>
          <w:szCs w:val="32"/>
          <w:lang w:val="en-US" w:eastAsia="zh-CN"/>
        </w:rPr>
        <w:t>1002.637136</w:t>
      </w:r>
      <w:r>
        <w:rPr>
          <w:rFonts w:hint="eastAsia" w:ascii="仿宋" w:hAnsi="仿宋" w:eastAsia="仿宋" w:cs="仿宋"/>
          <w:sz w:val="32"/>
          <w:szCs w:val="32"/>
        </w:rPr>
        <w:t>万元，全年支出</w:t>
      </w:r>
      <w:r>
        <w:rPr>
          <w:rFonts w:hint="eastAsia" w:ascii="仿宋" w:hAnsi="仿宋" w:eastAsia="仿宋" w:cs="仿宋"/>
          <w:sz w:val="32"/>
          <w:szCs w:val="32"/>
          <w:lang w:val="en-US" w:eastAsia="zh-CN"/>
        </w:rPr>
        <w:t>1002.637136</w:t>
      </w:r>
      <w:r>
        <w:rPr>
          <w:rFonts w:hint="eastAsia" w:ascii="仿宋" w:hAnsi="仿宋" w:eastAsia="仿宋" w:cs="仿宋"/>
          <w:sz w:val="32"/>
          <w:szCs w:val="32"/>
        </w:rPr>
        <w:t>元，执行率100%。通过自评，项目结果均为“优”。具体分项目自评情况分析如下：</w:t>
      </w:r>
    </w:p>
    <w:p w14:paraId="4C2D7387">
      <w:pPr>
        <w:spacing w:line="560" w:lineRule="exact"/>
        <w:ind w:firstLine="643" w:firstLineChars="200"/>
        <w:rPr>
          <w:rFonts w:hint="eastAsia" w:ascii="楷体" w:hAnsi="楷体" w:eastAsia="楷体"/>
          <w:b/>
          <w:sz w:val="32"/>
          <w:szCs w:val="32"/>
        </w:rPr>
      </w:pPr>
      <w:r>
        <w:rPr>
          <w:rFonts w:hint="eastAsia" w:ascii="楷体" w:hAnsi="楷体" w:eastAsia="楷体"/>
          <w:b/>
          <w:sz w:val="32"/>
          <w:szCs w:val="32"/>
        </w:rPr>
        <w:t>（一）</w:t>
      </w:r>
      <w:r>
        <w:rPr>
          <w:rFonts w:hint="eastAsia" w:ascii="楷体" w:hAnsi="楷体" w:eastAsia="楷体"/>
          <w:b/>
          <w:bCs/>
          <w:sz w:val="32"/>
          <w:szCs w:val="32"/>
        </w:rPr>
        <w:t>成品油税费改革用于养护维修工程</w:t>
      </w:r>
      <w:r>
        <w:rPr>
          <w:rFonts w:hint="eastAsia" w:ascii="楷体" w:hAnsi="楷体" w:eastAsia="楷体"/>
          <w:b/>
          <w:bCs/>
          <w:sz w:val="32"/>
          <w:szCs w:val="32"/>
          <w:lang w:eastAsia="zh-CN"/>
        </w:rPr>
        <w:t>－</w:t>
      </w:r>
      <w:bookmarkStart w:id="0" w:name="_GoBack"/>
      <w:bookmarkEnd w:id="0"/>
      <w:r>
        <w:rPr>
          <w:rFonts w:hint="eastAsia" w:ascii="楷体" w:hAnsi="楷体" w:eastAsia="楷体"/>
          <w:b/>
          <w:bCs/>
          <w:sz w:val="32"/>
          <w:szCs w:val="32"/>
        </w:rPr>
        <w:t>日常养护维修（人员经费）</w:t>
      </w:r>
    </w:p>
    <w:p w14:paraId="5172918B">
      <w:pPr>
        <w:ind w:firstLine="64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
        </w:rPr>
        <w:t>1.项目支出预算执行情况。</w:t>
      </w:r>
    </w:p>
    <w:p w14:paraId="61392DF6">
      <w:pPr>
        <w:spacing w:line="560" w:lineRule="exact"/>
        <w:ind w:firstLine="640" w:firstLineChars="200"/>
        <w:rPr>
          <w:rFonts w:hint="eastAsia" w:ascii="仿宋_GB2312" w:hAnsi="仿宋_GB2312" w:eastAsia="仿宋_GB2312" w:cs="仿宋_GB2312"/>
          <w:color w:val="auto"/>
          <w:sz w:val="32"/>
          <w:szCs w:val="32"/>
          <w:lang w:val="e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年预算收入605.204836万元，</w:t>
      </w:r>
      <w:r>
        <w:rPr>
          <w:rFonts w:hint="eastAsia" w:ascii="仿宋" w:hAnsi="仿宋" w:eastAsia="仿宋" w:cs="仿宋"/>
          <w:sz w:val="32"/>
          <w:szCs w:val="32"/>
          <w:lang w:eastAsia="zh-CN"/>
        </w:rPr>
        <w:t>年初归集调入23.34076万元，</w:t>
      </w:r>
      <w:r>
        <w:rPr>
          <w:rFonts w:hint="eastAsia" w:ascii="仿宋" w:hAnsi="仿宋" w:eastAsia="仿宋" w:cs="仿宋"/>
          <w:sz w:val="32"/>
          <w:szCs w:val="32"/>
        </w:rPr>
        <w:t>全年支出6285455.96万元，执行率为100%。</w:t>
      </w:r>
    </w:p>
    <w:p w14:paraId="4ACE1A0B">
      <w:pPr>
        <w:numPr>
          <w:ilvl w:val="0"/>
          <w:numId w:val="0"/>
        </w:numPr>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lang w:val="en"/>
        </w:rPr>
        <w:t>总体绩效目标完成情况分析。</w:t>
      </w:r>
    </w:p>
    <w:p w14:paraId="46D5FAE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年燃油税日常养护维修人员经费总体绩效目标主要是：保证燃油税保障单位正常运转，人员工资及时足额发放，保证职工“五险</w:t>
      </w:r>
      <w:r>
        <w:rPr>
          <w:rFonts w:hint="eastAsia" w:ascii="仿宋" w:hAnsi="仿宋" w:eastAsia="仿宋" w:cs="仿宋"/>
          <w:sz w:val="32"/>
          <w:szCs w:val="32"/>
          <w:lang w:eastAsia="zh-CN"/>
        </w:rPr>
        <w:t>两</w:t>
      </w:r>
      <w:r>
        <w:rPr>
          <w:rFonts w:hint="eastAsia" w:ascii="仿宋" w:hAnsi="仿宋" w:eastAsia="仿宋" w:cs="仿宋"/>
          <w:sz w:val="32"/>
          <w:szCs w:val="32"/>
        </w:rPr>
        <w:t>金”正常缴纳，在相关政策规定允许且有预算支持的情况下，保障职工福利待遇，以调动职工的工作积极性；保证职工的办公、生产、生活正常开展和进行。结合工作的时效性按月合理安排支出进度，提高预算执行效率，切实提高资金使用的安全性、规范性和有效性。在此基础上，进一步压缩行政管理开支和各种非生产性开支，保证公用经费持续下降。</w:t>
      </w:r>
    </w:p>
    <w:p w14:paraId="22966B64">
      <w:pPr>
        <w:spacing w:line="560" w:lineRule="exact"/>
        <w:ind w:firstLine="640" w:firstLineChars="200"/>
        <w:rPr>
          <w:rFonts w:hint="eastAsia" w:ascii="仿宋" w:hAnsi="仿宋" w:eastAsia="仿宋" w:cs="仿宋"/>
          <w:b/>
          <w:bCs/>
          <w:color w:val="auto"/>
          <w:sz w:val="32"/>
          <w:szCs w:val="32"/>
          <w:lang w:val="e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年我段燃油税人员经费支出总体绩效目标完成较好，人员工资及时足额发放，“五险</w:t>
      </w:r>
      <w:r>
        <w:rPr>
          <w:rFonts w:hint="eastAsia" w:ascii="仿宋" w:hAnsi="仿宋" w:eastAsia="仿宋" w:cs="仿宋"/>
          <w:sz w:val="32"/>
          <w:szCs w:val="32"/>
          <w:lang w:eastAsia="zh-CN"/>
        </w:rPr>
        <w:t>两</w:t>
      </w:r>
      <w:r>
        <w:rPr>
          <w:rFonts w:hint="eastAsia" w:ascii="仿宋" w:hAnsi="仿宋" w:eastAsia="仿宋" w:cs="仿宋"/>
          <w:sz w:val="32"/>
          <w:szCs w:val="32"/>
        </w:rPr>
        <w:t>金”正常缴纳，在相关政策规定允许且有预算支持的情况下，保障了职工福利待遇；职工的办公、生产、生活正常开展和进行；进一步压缩行政管理开支和各种非生产性开支，保证公用经费持续下降。按月合理支出，提高了预算执行效率，切实提高了资金使用的安全性、规范性和有效性。</w:t>
      </w:r>
    </w:p>
    <w:p w14:paraId="388AE94B">
      <w:pPr>
        <w:numPr>
          <w:ilvl w:val="0"/>
          <w:numId w:val="0"/>
        </w:numPr>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lang w:val="en"/>
        </w:rPr>
        <w:t>各项指标完成情况分析。</w:t>
      </w:r>
    </w:p>
    <w:p w14:paraId="3C985A46">
      <w:pPr>
        <w:spacing w:line="560" w:lineRule="exact"/>
        <w:ind w:firstLine="643" w:firstLineChars="200"/>
        <w:rPr>
          <w:rFonts w:hint="eastAsia" w:ascii="仿宋" w:hAnsi="仿宋" w:eastAsia="仿宋" w:cs="仿宋"/>
          <w:b/>
          <w:bCs/>
          <w:color w:val="auto"/>
          <w:sz w:val="32"/>
          <w:szCs w:val="32"/>
          <w:lang w:val="en"/>
        </w:rPr>
      </w:pPr>
      <w:r>
        <w:rPr>
          <w:rFonts w:hint="eastAsia" w:ascii="仿宋" w:hAnsi="仿宋" w:eastAsia="仿宋" w:cs="仿宋"/>
          <w:b/>
          <w:bCs/>
          <w:sz w:val="32"/>
          <w:szCs w:val="32"/>
        </w:rPr>
        <w:t>一是</w:t>
      </w:r>
      <w:r>
        <w:rPr>
          <w:rFonts w:hint="eastAsia" w:ascii="仿宋" w:hAnsi="仿宋" w:eastAsia="仿宋" w:cs="仿宋"/>
          <w:sz w:val="32"/>
          <w:szCs w:val="32"/>
        </w:rPr>
        <w:t>人员经费合规支出，</w:t>
      </w:r>
      <w:r>
        <w:rPr>
          <w:rFonts w:hint="eastAsia" w:ascii="仿宋" w:hAnsi="仿宋" w:eastAsia="仿宋" w:cs="仿宋"/>
          <w:b/>
          <w:bCs/>
          <w:sz w:val="32"/>
          <w:szCs w:val="32"/>
        </w:rPr>
        <w:t>二是</w:t>
      </w:r>
      <w:r>
        <w:rPr>
          <w:rFonts w:hint="eastAsia" w:ascii="仿宋" w:hAnsi="仿宋" w:eastAsia="仿宋" w:cs="仿宋"/>
          <w:sz w:val="32"/>
          <w:szCs w:val="32"/>
        </w:rPr>
        <w:t>公用经费合规支出，</w:t>
      </w:r>
      <w:r>
        <w:rPr>
          <w:rFonts w:hint="eastAsia" w:ascii="仿宋" w:hAnsi="仿宋" w:eastAsia="仿宋" w:cs="仿宋"/>
          <w:b/>
          <w:bCs/>
          <w:sz w:val="32"/>
          <w:szCs w:val="32"/>
        </w:rPr>
        <w:t>三是</w:t>
      </w:r>
      <w:r>
        <w:rPr>
          <w:rFonts w:hint="eastAsia" w:ascii="仿宋" w:hAnsi="仿宋" w:eastAsia="仿宋" w:cs="仿宋"/>
          <w:sz w:val="32"/>
          <w:szCs w:val="32"/>
        </w:rPr>
        <w:t>政府采购合规支出，</w:t>
      </w:r>
      <w:r>
        <w:rPr>
          <w:rFonts w:hint="eastAsia" w:ascii="仿宋" w:hAnsi="仿宋" w:eastAsia="仿宋" w:cs="仿宋"/>
          <w:b/>
          <w:bCs/>
          <w:sz w:val="32"/>
          <w:szCs w:val="32"/>
        </w:rPr>
        <w:t>四是</w:t>
      </w:r>
      <w:r>
        <w:rPr>
          <w:rFonts w:hint="eastAsia" w:ascii="仿宋" w:hAnsi="仿宋" w:eastAsia="仿宋" w:cs="仿宋"/>
          <w:sz w:val="32"/>
          <w:szCs w:val="32"/>
        </w:rPr>
        <w:t>国有资产保值，</w:t>
      </w:r>
      <w:r>
        <w:rPr>
          <w:rFonts w:hint="eastAsia" w:ascii="仿宋" w:hAnsi="仿宋" w:eastAsia="仿宋" w:cs="仿宋"/>
          <w:b/>
          <w:bCs/>
          <w:sz w:val="32"/>
          <w:szCs w:val="32"/>
        </w:rPr>
        <w:t>五是</w:t>
      </w:r>
      <w:r>
        <w:rPr>
          <w:rFonts w:hint="eastAsia" w:ascii="仿宋" w:hAnsi="仿宋" w:eastAsia="仿宋" w:cs="仿宋"/>
          <w:sz w:val="32"/>
          <w:szCs w:val="32"/>
        </w:rPr>
        <w:t>主要计划较为健全，</w:t>
      </w:r>
      <w:r>
        <w:rPr>
          <w:rFonts w:hint="eastAsia" w:ascii="仿宋" w:hAnsi="仿宋" w:eastAsia="仿宋" w:cs="仿宋"/>
          <w:b/>
          <w:bCs/>
          <w:sz w:val="32"/>
          <w:szCs w:val="32"/>
        </w:rPr>
        <w:t>六是</w:t>
      </w:r>
      <w:r>
        <w:rPr>
          <w:rFonts w:hint="eastAsia" w:ascii="仿宋" w:hAnsi="仿宋" w:eastAsia="仿宋" w:cs="仿宋"/>
          <w:sz w:val="32"/>
          <w:szCs w:val="32"/>
        </w:rPr>
        <w:t>主要财务制度较为健全，</w:t>
      </w:r>
      <w:r>
        <w:rPr>
          <w:rFonts w:hint="eastAsia" w:ascii="仿宋" w:hAnsi="仿宋" w:eastAsia="仿宋" w:cs="仿宋"/>
          <w:b/>
          <w:bCs/>
          <w:sz w:val="32"/>
          <w:szCs w:val="32"/>
        </w:rPr>
        <w:t>七是</w:t>
      </w:r>
      <w:r>
        <w:rPr>
          <w:rFonts w:hint="eastAsia" w:ascii="仿宋" w:hAnsi="仿宋" w:eastAsia="仿宋" w:cs="仿宋"/>
          <w:sz w:val="32"/>
          <w:szCs w:val="32"/>
        </w:rPr>
        <w:t>重点工作管理制度健全。</w:t>
      </w:r>
    </w:p>
    <w:p w14:paraId="259D0E3C">
      <w:pPr>
        <w:numPr>
          <w:ilvl w:val="0"/>
          <w:numId w:val="0"/>
        </w:numPr>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135519C4">
      <w:pPr>
        <w:spacing w:line="560" w:lineRule="exact"/>
        <w:ind w:firstLine="640" w:firstLineChars="200"/>
        <w:rPr>
          <w:rFonts w:hint="eastAsia" w:ascii="仿宋_GB2312" w:hAnsi="仿宋_GB2312" w:eastAsia="仿宋_GB2312" w:cs="仿宋_GB2312"/>
          <w:color w:val="auto"/>
          <w:sz w:val="32"/>
          <w:szCs w:val="32"/>
          <w:lang w:val="e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年我段燃油税人员经费及公用经费绩效目标完成较好，预算资金实现了足额支出及支付。</w:t>
      </w:r>
    </w:p>
    <w:p w14:paraId="35B27DB3">
      <w:pPr>
        <w:spacing w:line="560" w:lineRule="exact"/>
        <w:ind w:firstLine="643" w:firstLineChars="200"/>
        <w:rPr>
          <w:rFonts w:hint="eastAsia" w:ascii="楷体" w:hAnsi="楷体" w:eastAsia="楷体" w:cs="楷体"/>
          <w:sz w:val="32"/>
          <w:szCs w:val="32"/>
        </w:rPr>
      </w:pPr>
      <w:r>
        <w:rPr>
          <w:rFonts w:hint="eastAsia" w:ascii="楷体" w:hAnsi="楷体" w:eastAsia="楷体" w:cs="楷体"/>
          <w:b/>
          <w:sz w:val="32"/>
          <w:szCs w:val="32"/>
        </w:rPr>
        <w:t>（二）成品油税费改革用于养护工程项目经费（燃油税项目支出）</w:t>
      </w:r>
    </w:p>
    <w:p w14:paraId="2ED5CAE1">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1.项目支出预算执行情况</w:t>
      </w:r>
    </w:p>
    <w:p w14:paraId="06099199">
      <w:pPr>
        <w:spacing w:line="560" w:lineRule="exact"/>
        <w:ind w:firstLine="6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年预算收入284.2525万元，全年支出284.2525万元，执行率为100%。</w:t>
      </w:r>
    </w:p>
    <w:p w14:paraId="3538BB34">
      <w:pPr>
        <w:spacing w:line="560" w:lineRule="exact"/>
        <w:ind w:firstLine="600"/>
        <w:rPr>
          <w:rFonts w:ascii="仿宋_GB2312" w:eastAsia="仿宋_GB2312"/>
          <w:b/>
          <w:szCs w:val="32"/>
        </w:rPr>
      </w:pPr>
      <w:r>
        <w:rPr>
          <w:rFonts w:hint="eastAsia" w:ascii="仿宋_GB2312" w:eastAsia="仿宋_GB2312"/>
          <w:b/>
          <w:szCs w:val="32"/>
        </w:rPr>
        <w:t xml:space="preserve"> </w:t>
      </w:r>
      <w:r>
        <w:rPr>
          <w:rFonts w:hint="eastAsia" w:ascii="仿宋_GB2312" w:eastAsia="仿宋_GB2312"/>
          <w:b/>
          <w:sz w:val="32"/>
          <w:szCs w:val="32"/>
        </w:rPr>
        <w:t>2.总体绩效目标完成情况分析</w:t>
      </w:r>
    </w:p>
    <w:p w14:paraId="39FCB16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总体绩效目标已基本完成，管养的普通国省干线路容路貌良好，病害及时处治、路域环境卫生及时整治，桥涵运行状况良好，交安设施完善，完成情况较好。</w:t>
      </w:r>
    </w:p>
    <w:p w14:paraId="2A05314D">
      <w:pPr>
        <w:spacing w:line="560" w:lineRule="exact"/>
        <w:rPr>
          <w:rFonts w:ascii="仿宋_GB2312" w:eastAsia="仿宋_GB2312"/>
          <w:b/>
          <w:szCs w:val="32"/>
        </w:rPr>
      </w:pPr>
      <w:r>
        <w:rPr>
          <w:rFonts w:hint="eastAsia" w:ascii="仿宋_GB2312" w:eastAsia="仿宋_GB2312"/>
          <w:b/>
          <w:szCs w:val="32"/>
        </w:rPr>
        <w:t xml:space="preserve">    </w:t>
      </w:r>
      <w:r>
        <w:rPr>
          <w:rFonts w:hint="eastAsia" w:ascii="仿宋_GB2312" w:eastAsia="仿宋_GB2312"/>
          <w:b/>
          <w:szCs w:val="32"/>
          <w:lang w:val="en-US" w:eastAsia="zh-CN"/>
        </w:rPr>
        <w:t xml:space="preserve">  </w:t>
      </w:r>
      <w:r>
        <w:rPr>
          <w:rFonts w:hint="eastAsia" w:ascii="仿宋_GB2312" w:eastAsia="仿宋_GB2312"/>
          <w:b/>
          <w:sz w:val="32"/>
          <w:szCs w:val="32"/>
        </w:rPr>
        <w:t>3.各项指标完成情况分析</w:t>
      </w:r>
    </w:p>
    <w:p w14:paraId="19FF0800">
      <w:pPr>
        <w:spacing w:line="560" w:lineRule="exact"/>
        <w:ind w:firstLine="600"/>
        <w:rPr>
          <w:rFonts w:hint="eastAsia" w:ascii="仿宋" w:hAnsi="仿宋" w:eastAsia="仿宋" w:cs="仿宋"/>
          <w:sz w:val="32"/>
          <w:szCs w:val="32"/>
        </w:rPr>
      </w:pPr>
      <w:r>
        <w:rPr>
          <w:rFonts w:hint="eastAsia" w:ascii="仿宋" w:hAnsi="仿宋" w:eastAsia="仿宋" w:cs="仿宋"/>
          <w:sz w:val="32"/>
          <w:szCs w:val="32"/>
        </w:rPr>
        <w:t>道路及附属设施日常养护完成率100%，道路及附属设施完善齐备，项目支出控制在预算范围内，无超预算情况发生，公路除部分施工路段外路网畅通，道路安全隐患处理及时，交通行业形象得到提升，加强资源保护、减少污染排放，服务对象满意度较好。</w:t>
      </w:r>
    </w:p>
    <w:p w14:paraId="20F9FBD0">
      <w:pPr>
        <w:numPr>
          <w:ilvl w:val="0"/>
          <w:numId w:val="0"/>
        </w:numPr>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48430629">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w:t>
      </w:r>
      <w:r>
        <w:rPr>
          <w:rFonts w:hint="eastAsia" w:ascii="仿宋" w:hAnsi="仿宋" w:eastAsia="仿宋" w:cs="仿宋"/>
          <w:b w:val="0"/>
          <w:bCs/>
          <w:sz w:val="32"/>
          <w:szCs w:val="32"/>
        </w:rPr>
        <w:t>成品油税费改革用于养护工程项目经费（燃油税项目支出）</w:t>
      </w:r>
      <w:r>
        <w:rPr>
          <w:rFonts w:hint="eastAsia" w:ascii="仿宋" w:hAnsi="仿宋" w:eastAsia="仿宋" w:cs="仿宋"/>
          <w:sz w:val="32"/>
          <w:szCs w:val="32"/>
        </w:rPr>
        <w:t>绩效目标完成较好，预算资金实现了足额支出及支付。</w:t>
      </w:r>
    </w:p>
    <w:p w14:paraId="06F6605F">
      <w:pPr>
        <w:widowControl/>
        <w:numPr>
          <w:ilvl w:val="0"/>
          <w:numId w:val="2"/>
        </w:numPr>
        <w:spacing w:line="560" w:lineRule="exact"/>
        <w:ind w:left="606" w:leftChars="0" w:firstLine="0" w:firstLineChars="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政府收费公路养护、修缮及其他支出经费</w:t>
      </w:r>
    </w:p>
    <w:p w14:paraId="6D7AAB38">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1.项目支出预算执行情况</w:t>
      </w:r>
    </w:p>
    <w:p w14:paraId="01FBE7B6">
      <w:pPr>
        <w:spacing w:line="560" w:lineRule="exact"/>
        <w:ind w:firstLine="6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年预算收入</w:t>
      </w:r>
      <w:r>
        <w:rPr>
          <w:rFonts w:hint="eastAsia" w:ascii="仿宋" w:hAnsi="仿宋" w:eastAsia="仿宋" w:cs="仿宋"/>
          <w:sz w:val="32"/>
          <w:szCs w:val="32"/>
          <w:lang w:val="en-US" w:eastAsia="zh-CN"/>
        </w:rPr>
        <w:t>51.1798</w:t>
      </w:r>
      <w:r>
        <w:rPr>
          <w:rFonts w:hint="eastAsia" w:ascii="仿宋" w:hAnsi="仿宋" w:eastAsia="仿宋" w:cs="仿宋"/>
          <w:sz w:val="32"/>
          <w:szCs w:val="32"/>
        </w:rPr>
        <w:t>万元，全年支出</w:t>
      </w:r>
      <w:r>
        <w:rPr>
          <w:rFonts w:hint="eastAsia" w:ascii="仿宋" w:hAnsi="仿宋" w:eastAsia="仿宋" w:cs="仿宋"/>
          <w:sz w:val="32"/>
          <w:szCs w:val="32"/>
          <w:lang w:val="en-US" w:eastAsia="zh-CN"/>
        </w:rPr>
        <w:t>51.1798</w:t>
      </w:r>
      <w:r>
        <w:rPr>
          <w:rFonts w:hint="eastAsia" w:ascii="仿宋" w:hAnsi="仿宋" w:eastAsia="仿宋" w:cs="仿宋"/>
          <w:sz w:val="32"/>
          <w:szCs w:val="32"/>
        </w:rPr>
        <w:t>万元，执行率为100%。</w:t>
      </w:r>
    </w:p>
    <w:p w14:paraId="20571387">
      <w:pPr>
        <w:widowControl/>
        <w:numPr>
          <w:ilvl w:val="0"/>
          <w:numId w:val="0"/>
        </w:numPr>
        <w:spacing w:line="560" w:lineRule="exact"/>
        <w:ind w:firstLine="643" w:firstLineChars="200"/>
        <w:rPr>
          <w:rFonts w:hint="eastAsia" w:ascii="仿宋_GB2312" w:eastAsia="仿宋_GB2312"/>
          <w:b/>
          <w:sz w:val="32"/>
          <w:szCs w:val="32"/>
          <w:lang w:val="en-US" w:eastAsia="zh-CN"/>
        </w:rPr>
      </w:pPr>
      <w:r>
        <w:rPr>
          <w:rFonts w:hint="eastAsia" w:ascii="仿宋_GB2312" w:eastAsia="仿宋_GB2312"/>
          <w:b/>
          <w:sz w:val="32"/>
          <w:szCs w:val="32"/>
          <w:lang w:val="en-US" w:eastAsia="zh-CN"/>
        </w:rPr>
        <w:t>2.</w:t>
      </w:r>
      <w:r>
        <w:rPr>
          <w:rFonts w:hint="eastAsia" w:ascii="仿宋_GB2312" w:eastAsia="仿宋_GB2312"/>
          <w:b/>
          <w:sz w:val="32"/>
          <w:szCs w:val="32"/>
        </w:rPr>
        <w:t>总体绩效目标完成情况分析</w:t>
      </w:r>
    </w:p>
    <w:p w14:paraId="0367F7AB">
      <w:pPr>
        <w:widowControl/>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总体绩效目标已基本完成，</w:t>
      </w:r>
      <w:r>
        <w:rPr>
          <w:rFonts w:hint="eastAsia" w:ascii="仿宋" w:hAnsi="仿宋" w:eastAsia="仿宋" w:cs="仿宋"/>
          <w:sz w:val="32"/>
          <w:szCs w:val="32"/>
          <w:lang w:eastAsia="zh-CN"/>
        </w:rPr>
        <w:t>圆满完成</w:t>
      </w:r>
      <w:r>
        <w:rPr>
          <w:rFonts w:hint="eastAsia" w:ascii="仿宋" w:hAnsi="仿宋" w:eastAsia="仿宋" w:cs="仿宋"/>
          <w:sz w:val="32"/>
          <w:szCs w:val="32"/>
        </w:rPr>
        <w:t>高速公路“两个集中”工程、冬季除雪保畅工作任务。质量合格，安全、文明、环保施工符合要求，资料合适齐全，资金及时支付。</w:t>
      </w:r>
    </w:p>
    <w:p w14:paraId="6510D69B">
      <w:pPr>
        <w:widowControl/>
        <w:numPr>
          <w:ilvl w:val="0"/>
          <w:numId w:val="0"/>
        </w:num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lang w:val="en-US" w:eastAsia="zh-CN"/>
        </w:rPr>
        <w:t>3.</w:t>
      </w:r>
      <w:r>
        <w:rPr>
          <w:rFonts w:hint="eastAsia" w:ascii="仿宋_GB2312" w:eastAsia="仿宋_GB2312"/>
          <w:b/>
          <w:sz w:val="32"/>
          <w:szCs w:val="32"/>
        </w:rPr>
        <w:t>各项指标完成情况分析</w:t>
      </w:r>
    </w:p>
    <w:p w14:paraId="09E9B3E0">
      <w:pPr>
        <w:ind w:firstLine="640" w:firstLineChars="200"/>
        <w:rPr>
          <w:rFonts w:hint="eastAsia" w:ascii="仿宋" w:hAnsi="仿宋" w:eastAsia="仿宋" w:cs="仿宋"/>
          <w:b/>
          <w:sz w:val="32"/>
          <w:szCs w:val="32"/>
        </w:rPr>
      </w:pPr>
      <w:r>
        <w:rPr>
          <w:rFonts w:hint="eastAsia" w:ascii="仿宋" w:hAnsi="仿宋" w:eastAsia="仿宋" w:cs="仿宋"/>
          <w:sz w:val="32"/>
          <w:szCs w:val="32"/>
        </w:rPr>
        <w:t>项目支出控制在预算范围内，无超预算情况发生，道路安全隐患处理及时，交通行业形象得到提升，加强资源保护、减少污染排放，服务对象满意度较好。</w:t>
      </w:r>
    </w:p>
    <w:p w14:paraId="5BBD07D2">
      <w:pPr>
        <w:numPr>
          <w:ilvl w:val="0"/>
          <w:numId w:val="0"/>
        </w:numPr>
        <w:spacing w:line="560" w:lineRule="exact"/>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1B8A2C91">
      <w:pPr>
        <w:widowControl/>
        <w:numPr>
          <w:ilvl w:val="0"/>
          <w:numId w:val="0"/>
        </w:numPr>
        <w:spacing w:line="560" w:lineRule="exact"/>
        <w:ind w:firstLine="640" w:firstLineChars="200"/>
        <w:rPr>
          <w:rFonts w:hint="eastAsia" w:ascii="仿宋" w:hAnsi="仿宋" w:eastAsia="仿宋" w:cs="仿宋"/>
          <w:b/>
          <w:sz w:val="32"/>
          <w:szCs w:val="32"/>
        </w:rPr>
      </w:pPr>
      <w:r>
        <w:rPr>
          <w:rFonts w:hint="eastAsia" w:ascii="仿宋" w:hAnsi="仿宋" w:eastAsia="仿宋" w:cs="仿宋"/>
          <w:sz w:val="32"/>
          <w:szCs w:val="32"/>
        </w:rPr>
        <w:t>因工程施工进行作业区封闭，导致临时性道路拥堵，致使社会效益指标未达到预期指标值。下一步将科学制定绕行方案，合理布设作业区，加快施工进度，保证公路畅通。</w:t>
      </w:r>
    </w:p>
    <w:p w14:paraId="1B9908A2">
      <w:pPr>
        <w:widowControl/>
        <w:numPr>
          <w:ilvl w:val="0"/>
          <w:numId w:val="2"/>
        </w:numPr>
        <w:spacing w:line="560" w:lineRule="exact"/>
        <w:ind w:left="606" w:leftChars="0" w:firstLine="0" w:firstLineChars="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政府还贷二级公路取消收费后补助资金</w:t>
      </w:r>
    </w:p>
    <w:p w14:paraId="560AEB84">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1.项目支出预算执行情况</w:t>
      </w:r>
    </w:p>
    <w:p w14:paraId="3BAF9E7E">
      <w:pPr>
        <w:widowControl/>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年预算收入</w:t>
      </w:r>
      <w:r>
        <w:rPr>
          <w:rFonts w:hint="eastAsia" w:ascii="仿宋" w:hAnsi="仿宋" w:eastAsia="仿宋" w:cs="仿宋"/>
          <w:sz w:val="32"/>
          <w:szCs w:val="32"/>
          <w:lang w:val="en-US" w:eastAsia="zh-CN"/>
        </w:rPr>
        <w:t>15</w:t>
      </w:r>
      <w:r>
        <w:rPr>
          <w:rFonts w:hint="eastAsia" w:ascii="仿宋" w:hAnsi="仿宋" w:eastAsia="仿宋" w:cs="仿宋"/>
          <w:sz w:val="32"/>
          <w:szCs w:val="32"/>
        </w:rPr>
        <w:t>万元，全年支出</w:t>
      </w:r>
      <w:r>
        <w:rPr>
          <w:rFonts w:hint="eastAsia" w:ascii="仿宋" w:hAnsi="仿宋" w:eastAsia="仿宋" w:cs="仿宋"/>
          <w:sz w:val="32"/>
          <w:szCs w:val="32"/>
          <w:lang w:val="en-US" w:eastAsia="zh-CN"/>
        </w:rPr>
        <w:t>15</w:t>
      </w:r>
      <w:r>
        <w:rPr>
          <w:rFonts w:hint="eastAsia" w:ascii="仿宋" w:hAnsi="仿宋" w:eastAsia="仿宋" w:cs="仿宋"/>
          <w:sz w:val="32"/>
          <w:szCs w:val="32"/>
        </w:rPr>
        <w:t>万元，执行率为100%。</w:t>
      </w:r>
    </w:p>
    <w:p w14:paraId="10261C5E">
      <w:pPr>
        <w:widowControl/>
        <w:numPr>
          <w:ilvl w:val="0"/>
          <w:numId w:val="0"/>
        </w:numPr>
        <w:spacing w:line="560" w:lineRule="exact"/>
        <w:ind w:firstLine="643" w:firstLineChars="200"/>
        <w:rPr>
          <w:rFonts w:hint="eastAsia" w:ascii="仿宋_GB2312" w:eastAsia="仿宋_GB2312"/>
          <w:b/>
          <w:sz w:val="32"/>
          <w:szCs w:val="32"/>
          <w:lang w:val="en-US" w:eastAsia="zh-CN"/>
        </w:rPr>
      </w:pPr>
      <w:r>
        <w:rPr>
          <w:rFonts w:hint="eastAsia" w:ascii="仿宋_GB2312" w:eastAsia="仿宋_GB2312"/>
          <w:b/>
          <w:sz w:val="32"/>
          <w:szCs w:val="32"/>
          <w:lang w:val="en-US" w:eastAsia="zh-CN"/>
        </w:rPr>
        <w:t>2.</w:t>
      </w:r>
      <w:r>
        <w:rPr>
          <w:rFonts w:hint="eastAsia" w:ascii="仿宋_GB2312" w:eastAsia="仿宋_GB2312"/>
          <w:b/>
          <w:sz w:val="32"/>
          <w:szCs w:val="32"/>
        </w:rPr>
        <w:t>总体绩效目标完成情况分析</w:t>
      </w:r>
    </w:p>
    <w:p w14:paraId="21BAF1AE">
      <w:pPr>
        <w:widowControl/>
        <w:numPr>
          <w:ilvl w:val="0"/>
          <w:numId w:val="0"/>
        </w:num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下达普干除雪保畅资金15.00万元。完成冬季除雪保畅工作任务，各项工作开展及时，工程质量合格，均已完成交工验收，安全、文明、环保施工环节符合要求，项目资料齐全闭合，资金支付及时且预算执行率100%。</w:t>
      </w:r>
    </w:p>
    <w:p w14:paraId="2F035117">
      <w:pPr>
        <w:widowControl/>
        <w:numPr>
          <w:ilvl w:val="0"/>
          <w:numId w:val="0"/>
        </w:num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lang w:val="en-US" w:eastAsia="zh-CN"/>
        </w:rPr>
        <w:t>3.</w:t>
      </w:r>
      <w:r>
        <w:rPr>
          <w:rFonts w:hint="eastAsia" w:ascii="仿宋_GB2312" w:eastAsia="仿宋_GB2312"/>
          <w:b/>
          <w:sz w:val="32"/>
          <w:szCs w:val="32"/>
        </w:rPr>
        <w:t>各项指标完成情况分析</w:t>
      </w:r>
    </w:p>
    <w:p w14:paraId="439AA5FE">
      <w:pPr>
        <w:ind w:firstLine="640" w:firstLineChars="200"/>
        <w:rPr>
          <w:rFonts w:hint="eastAsia" w:ascii="仿宋" w:hAnsi="仿宋" w:eastAsia="仿宋" w:cs="仿宋"/>
          <w:b/>
          <w:sz w:val="32"/>
          <w:szCs w:val="32"/>
        </w:rPr>
      </w:pPr>
      <w:r>
        <w:rPr>
          <w:rFonts w:hint="eastAsia" w:ascii="仿宋" w:hAnsi="仿宋" w:eastAsia="仿宋" w:cs="仿宋"/>
          <w:sz w:val="32"/>
          <w:szCs w:val="32"/>
        </w:rPr>
        <w:t>项目支出控制在预算范围内，无超预算情况发生，道路安全隐患处理及时，交通行业形象得到提升，加强资源保护、减少污染排放，服务对象满意度较好。</w:t>
      </w:r>
    </w:p>
    <w:p w14:paraId="253A49A0">
      <w:pPr>
        <w:numPr>
          <w:ilvl w:val="0"/>
          <w:numId w:val="0"/>
        </w:numPr>
        <w:spacing w:line="560" w:lineRule="exact"/>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14C93F14">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年我段政府还贷二级公路取消收费后补助资金绩效目标完成较好，预算资金实现了足额支出及支付。</w:t>
      </w:r>
    </w:p>
    <w:p w14:paraId="27AC83F8">
      <w:pPr>
        <w:numPr>
          <w:ilvl w:val="0"/>
          <w:numId w:val="0"/>
        </w:numPr>
        <w:spacing w:line="560" w:lineRule="exact"/>
        <w:ind w:firstLine="643" w:firstLineChars="200"/>
        <w:rPr>
          <w:rFonts w:hint="eastAsia" w:ascii="楷体" w:hAnsi="楷体" w:eastAsia="楷体" w:cs="楷体"/>
          <w:b/>
          <w:sz w:val="32"/>
          <w:szCs w:val="32"/>
          <w:lang w:val="en-US" w:eastAsia="zh-CN"/>
        </w:rPr>
      </w:pPr>
      <w:r>
        <w:rPr>
          <w:rFonts w:hint="eastAsia" w:ascii="楷体" w:hAnsi="楷体" w:eastAsia="楷体" w:cs="楷体"/>
          <w:b/>
          <w:sz w:val="32"/>
          <w:szCs w:val="32"/>
          <w:lang w:val="en-US" w:eastAsia="zh-CN"/>
        </w:rPr>
        <w:t>（五）中央车辆购置税收入补助地方资金用于重点公路建设资金</w:t>
      </w:r>
    </w:p>
    <w:p w14:paraId="0398930C">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1.项目支出预算执行情况</w:t>
      </w:r>
    </w:p>
    <w:p w14:paraId="227AD8F7">
      <w:pPr>
        <w:widowControl/>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年预算收入</w:t>
      </w:r>
      <w:r>
        <w:rPr>
          <w:rFonts w:hint="eastAsia" w:ascii="仿宋" w:hAnsi="仿宋" w:eastAsia="仿宋" w:cs="仿宋"/>
          <w:sz w:val="32"/>
          <w:szCs w:val="32"/>
          <w:lang w:val="en-US" w:eastAsia="zh-CN"/>
        </w:rPr>
        <w:t>45</w:t>
      </w:r>
      <w:r>
        <w:rPr>
          <w:rFonts w:hint="eastAsia" w:ascii="仿宋" w:hAnsi="仿宋" w:eastAsia="仿宋" w:cs="仿宋"/>
          <w:sz w:val="32"/>
          <w:szCs w:val="32"/>
        </w:rPr>
        <w:t>万元，全年支出</w:t>
      </w:r>
      <w:r>
        <w:rPr>
          <w:rFonts w:hint="eastAsia" w:ascii="仿宋" w:hAnsi="仿宋" w:eastAsia="仿宋" w:cs="仿宋"/>
          <w:sz w:val="32"/>
          <w:szCs w:val="32"/>
          <w:lang w:val="en-US" w:eastAsia="zh-CN"/>
        </w:rPr>
        <w:t>45</w:t>
      </w:r>
      <w:r>
        <w:rPr>
          <w:rFonts w:hint="eastAsia" w:ascii="仿宋" w:hAnsi="仿宋" w:eastAsia="仿宋" w:cs="仿宋"/>
          <w:sz w:val="32"/>
          <w:szCs w:val="32"/>
        </w:rPr>
        <w:t>万元，执行率为100%。</w:t>
      </w:r>
    </w:p>
    <w:p w14:paraId="06C6D556">
      <w:pPr>
        <w:widowControl/>
        <w:numPr>
          <w:ilvl w:val="0"/>
          <w:numId w:val="0"/>
        </w:numPr>
        <w:spacing w:line="560" w:lineRule="exact"/>
        <w:ind w:firstLine="643" w:firstLineChars="200"/>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2.</w:t>
      </w:r>
      <w:r>
        <w:rPr>
          <w:rFonts w:hint="eastAsia" w:ascii="仿宋" w:hAnsi="仿宋" w:eastAsia="仿宋" w:cs="仿宋"/>
          <w:b/>
          <w:sz w:val="32"/>
          <w:szCs w:val="32"/>
        </w:rPr>
        <w:t>总体绩效目标完成情况分析</w:t>
      </w:r>
    </w:p>
    <w:p w14:paraId="7576C46C">
      <w:pPr>
        <w:numPr>
          <w:ilvl w:val="0"/>
          <w:numId w:val="0"/>
        </w:num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2023年，下达2批次车辆购置税资金共45.00万元，完成了公路应急抢修保通工作任务，工程全部完成并已交工，工程质量合格，安全、文明、环保等施工环节均符合要求，资金及时支付、执行率100%，项目资料收集齐全，群众满意度达到既定目标，为公路畅、安、舒、美提供了良好基础保障。</w:t>
      </w:r>
    </w:p>
    <w:p w14:paraId="444F5B67">
      <w:pPr>
        <w:widowControl/>
        <w:numPr>
          <w:ilvl w:val="0"/>
          <w:numId w:val="0"/>
        </w:num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rPr>
        <w:t>各项指标完成情况分析</w:t>
      </w:r>
    </w:p>
    <w:p w14:paraId="3AE2F55B">
      <w:pPr>
        <w:ind w:firstLine="640" w:firstLineChars="200"/>
        <w:rPr>
          <w:rFonts w:hint="eastAsia" w:ascii="仿宋" w:hAnsi="仿宋" w:eastAsia="仿宋" w:cs="仿宋"/>
          <w:b/>
          <w:sz w:val="32"/>
          <w:szCs w:val="32"/>
        </w:rPr>
      </w:pPr>
      <w:r>
        <w:rPr>
          <w:rFonts w:hint="eastAsia" w:ascii="仿宋" w:hAnsi="仿宋" w:eastAsia="仿宋" w:cs="仿宋"/>
          <w:sz w:val="32"/>
          <w:szCs w:val="32"/>
        </w:rPr>
        <w:t>项目支出控制在预算范围内，无超预算情况发生，道路安全隐患处理及时，交通行业形象得到提升，加强资源保护、减少污染排放，服务对象满意度较好。</w:t>
      </w:r>
    </w:p>
    <w:p w14:paraId="3DDA0E10">
      <w:pPr>
        <w:numPr>
          <w:ilvl w:val="0"/>
          <w:numId w:val="0"/>
        </w:numPr>
        <w:spacing w:line="560" w:lineRule="exact"/>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65DD07A3">
      <w:p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年我段中央车辆购置税收入补助地方资金用于重点公路建设资金绩效目标完成较好，预算资金实现了足额支出</w:t>
      </w:r>
      <w:r>
        <w:rPr>
          <w:rFonts w:hint="eastAsia" w:ascii="仿宋" w:hAnsi="仿宋" w:eastAsia="仿宋" w:cs="仿宋"/>
          <w:sz w:val="32"/>
          <w:szCs w:val="32"/>
          <w:lang w:eastAsia="zh-CN"/>
        </w:rPr>
        <w:t>。</w:t>
      </w:r>
    </w:p>
    <w:p w14:paraId="13098BEC">
      <w:pPr>
        <w:numPr>
          <w:ilvl w:val="0"/>
          <w:numId w:val="0"/>
        </w:numPr>
        <w:spacing w:line="560" w:lineRule="exact"/>
        <w:ind w:firstLine="643" w:firstLineChars="200"/>
        <w:rPr>
          <w:rFonts w:hint="eastAsia" w:ascii="楷体" w:hAnsi="楷体" w:eastAsia="楷体" w:cs="楷体"/>
          <w:b/>
          <w:bCs/>
          <w:color w:val="auto"/>
          <w:sz w:val="32"/>
          <w:szCs w:val="32"/>
          <w:lang w:val="en" w:eastAsia="zh-CN"/>
        </w:rPr>
      </w:pPr>
      <w:r>
        <w:rPr>
          <w:rFonts w:hint="eastAsia" w:ascii="楷体" w:hAnsi="楷体" w:eastAsia="楷体" w:cs="楷体"/>
          <w:b/>
          <w:bCs/>
          <w:color w:val="auto"/>
          <w:sz w:val="32"/>
          <w:szCs w:val="32"/>
          <w:lang w:val="en" w:eastAsia="zh-CN"/>
        </w:rPr>
        <w:t>（六）非税收入资金</w:t>
      </w:r>
    </w:p>
    <w:p w14:paraId="4F49C592">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1.项目支出预算执行情况</w:t>
      </w:r>
    </w:p>
    <w:p w14:paraId="126A3A6D">
      <w:pPr>
        <w:widowControl/>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年预算收入</w:t>
      </w:r>
      <w:r>
        <w:rPr>
          <w:rFonts w:hint="eastAsia" w:ascii="仿宋" w:hAnsi="仿宋" w:eastAsia="仿宋" w:cs="仿宋"/>
          <w:sz w:val="32"/>
          <w:szCs w:val="32"/>
          <w:lang w:val="en-US" w:eastAsia="zh-CN"/>
        </w:rPr>
        <w:t>32.81</w:t>
      </w:r>
      <w:r>
        <w:rPr>
          <w:rFonts w:hint="eastAsia" w:ascii="仿宋" w:hAnsi="仿宋" w:eastAsia="仿宋" w:cs="仿宋"/>
          <w:sz w:val="32"/>
          <w:szCs w:val="32"/>
        </w:rPr>
        <w:t>万元，</w:t>
      </w:r>
      <w:r>
        <w:rPr>
          <w:rFonts w:hint="eastAsia" w:ascii="仿宋" w:hAnsi="仿宋" w:eastAsia="仿宋" w:cs="仿宋"/>
          <w:sz w:val="32"/>
          <w:szCs w:val="32"/>
          <w:lang w:eastAsia="zh-CN"/>
        </w:rPr>
        <w:t>年初归集调入26.769464万元，</w:t>
      </w:r>
      <w:r>
        <w:rPr>
          <w:rFonts w:hint="eastAsia" w:ascii="仿宋" w:hAnsi="仿宋" w:eastAsia="仿宋" w:cs="仿宋"/>
          <w:sz w:val="32"/>
          <w:szCs w:val="32"/>
        </w:rPr>
        <w:t>全年支出</w:t>
      </w:r>
      <w:r>
        <w:rPr>
          <w:rFonts w:hint="eastAsia" w:ascii="仿宋" w:hAnsi="仿宋" w:eastAsia="仿宋" w:cs="仿宋"/>
          <w:sz w:val="32"/>
          <w:szCs w:val="32"/>
          <w:lang w:val="en-US" w:eastAsia="zh-CN"/>
        </w:rPr>
        <w:t>59.579464</w:t>
      </w:r>
      <w:r>
        <w:rPr>
          <w:rFonts w:hint="eastAsia" w:ascii="仿宋" w:hAnsi="仿宋" w:eastAsia="仿宋" w:cs="仿宋"/>
          <w:sz w:val="32"/>
          <w:szCs w:val="32"/>
        </w:rPr>
        <w:t>万元，执行率为100%。</w:t>
      </w:r>
    </w:p>
    <w:p w14:paraId="4A4B6791">
      <w:pPr>
        <w:widowControl/>
        <w:numPr>
          <w:ilvl w:val="0"/>
          <w:numId w:val="0"/>
        </w:numPr>
        <w:spacing w:line="560" w:lineRule="exact"/>
        <w:ind w:firstLine="643" w:firstLineChars="200"/>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2.</w:t>
      </w:r>
      <w:r>
        <w:rPr>
          <w:rFonts w:hint="eastAsia" w:ascii="仿宋" w:hAnsi="仿宋" w:eastAsia="仿宋" w:cs="仿宋"/>
          <w:b/>
          <w:sz w:val="32"/>
          <w:szCs w:val="32"/>
        </w:rPr>
        <w:t>总体绩效目标完成情况分析</w:t>
      </w:r>
    </w:p>
    <w:p w14:paraId="4BF24A4E">
      <w:pPr>
        <w:widowControl/>
        <w:numPr>
          <w:ilvl w:val="0"/>
          <w:numId w:val="0"/>
        </w:num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sz w:val="32"/>
          <w:szCs w:val="32"/>
          <w:lang w:val="en-US" w:eastAsia="zh-CN"/>
        </w:rPr>
        <w:t>2023年收到非税收入资金共59.579464万元，用于房屋维修改造工程，政府采购手续规范，</w:t>
      </w:r>
      <w:r>
        <w:rPr>
          <w:rFonts w:hint="eastAsia" w:ascii="仿宋" w:hAnsi="仿宋" w:eastAsia="仿宋" w:cs="仿宋"/>
          <w:b w:val="0"/>
          <w:bCs/>
          <w:sz w:val="32"/>
          <w:szCs w:val="32"/>
          <w:lang w:val="en-US" w:eastAsia="zh-CN"/>
        </w:rPr>
        <w:t>工程全部完成，工程质量合格，安全、文明、环保等施工环节均符合要求，资金及时支付、执行率100%，项目资料收集齐全，职工满意度达到既定目标。</w:t>
      </w:r>
    </w:p>
    <w:p w14:paraId="4F37C471">
      <w:pPr>
        <w:widowControl/>
        <w:numPr>
          <w:ilvl w:val="0"/>
          <w:numId w:val="0"/>
        </w:num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rPr>
        <w:t>各项指标完成情况分析</w:t>
      </w:r>
    </w:p>
    <w:p w14:paraId="35F3092E">
      <w:pPr>
        <w:widowControl/>
        <w:numPr>
          <w:ilvl w:val="0"/>
          <w:numId w:val="0"/>
        </w:num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sz w:val="32"/>
          <w:szCs w:val="32"/>
        </w:rPr>
        <w:t>项目支出控制在预算范围内，无超预算情况发生，</w:t>
      </w:r>
      <w:r>
        <w:rPr>
          <w:rFonts w:hint="eastAsia" w:ascii="仿宋" w:hAnsi="仿宋" w:eastAsia="仿宋" w:cs="仿宋"/>
          <w:b w:val="0"/>
          <w:bCs/>
          <w:sz w:val="32"/>
          <w:szCs w:val="32"/>
          <w:lang w:val="en-US" w:eastAsia="zh-CN"/>
        </w:rPr>
        <w:t>职工满意度较好。</w:t>
      </w:r>
    </w:p>
    <w:p w14:paraId="1D4CCB41">
      <w:pPr>
        <w:numPr>
          <w:ilvl w:val="0"/>
          <w:numId w:val="0"/>
        </w:numPr>
        <w:spacing w:line="560" w:lineRule="exact"/>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288F8981">
      <w:p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w:t>
      </w:r>
      <w:r>
        <w:rPr>
          <w:rFonts w:hint="eastAsia" w:ascii="仿宋" w:hAnsi="仿宋" w:eastAsia="仿宋" w:cs="仿宋"/>
          <w:sz w:val="32"/>
          <w:szCs w:val="32"/>
          <w:lang w:eastAsia="zh-CN"/>
        </w:rPr>
        <w:t>非税收入</w:t>
      </w:r>
      <w:r>
        <w:rPr>
          <w:rFonts w:hint="eastAsia" w:ascii="仿宋" w:hAnsi="仿宋" w:eastAsia="仿宋" w:cs="仿宋"/>
          <w:sz w:val="32"/>
          <w:szCs w:val="32"/>
        </w:rPr>
        <w:t>资金绩效目标完成较好，预算资金实现了足额支出</w:t>
      </w:r>
      <w:r>
        <w:rPr>
          <w:rFonts w:hint="eastAsia" w:ascii="仿宋" w:hAnsi="仿宋" w:eastAsia="仿宋" w:cs="仿宋"/>
          <w:sz w:val="32"/>
          <w:szCs w:val="32"/>
          <w:lang w:eastAsia="zh-CN"/>
        </w:rPr>
        <w:t>。</w:t>
      </w:r>
    </w:p>
    <w:p w14:paraId="6D9BA1DC">
      <w:pPr>
        <w:widowControl/>
        <w:numPr>
          <w:ilvl w:val="0"/>
          <w:numId w:val="3"/>
        </w:numPr>
        <w:spacing w:line="560" w:lineRule="exact"/>
        <w:ind w:firstLine="643" w:firstLineChars="200"/>
        <w:rPr>
          <w:rFonts w:hint="eastAsia" w:ascii="楷体" w:hAnsi="楷体" w:eastAsia="楷体" w:cs="楷体"/>
          <w:b/>
          <w:bCs w:val="0"/>
          <w:sz w:val="32"/>
          <w:szCs w:val="32"/>
          <w:lang w:val="en-US" w:eastAsia="zh-CN"/>
        </w:rPr>
      </w:pPr>
      <w:r>
        <w:rPr>
          <w:rFonts w:hint="eastAsia" w:ascii="楷体" w:hAnsi="楷体" w:eastAsia="楷体" w:cs="楷体"/>
          <w:b/>
          <w:bCs w:val="0"/>
          <w:sz w:val="32"/>
          <w:szCs w:val="32"/>
          <w:lang w:val="en-US" w:eastAsia="zh-CN"/>
        </w:rPr>
        <w:t>路产赔补费资金</w:t>
      </w:r>
    </w:p>
    <w:p w14:paraId="033A5A52">
      <w:pPr>
        <w:spacing w:line="560" w:lineRule="exact"/>
        <w:ind w:firstLine="643" w:firstLineChars="200"/>
        <w:rPr>
          <w:rFonts w:hint="eastAsia" w:ascii="仿宋" w:hAnsi="仿宋" w:eastAsia="仿宋" w:cs="仿宋"/>
          <w:b/>
          <w:sz w:val="32"/>
          <w:szCs w:val="32"/>
        </w:rPr>
      </w:pPr>
      <w:r>
        <w:rPr>
          <w:rFonts w:hint="eastAsia" w:ascii="楷体" w:hAnsi="楷体" w:eastAsia="楷体" w:cs="楷体"/>
          <w:b/>
          <w:bCs w:val="0"/>
          <w:sz w:val="32"/>
          <w:szCs w:val="32"/>
          <w:lang w:val="en-US" w:eastAsia="zh-CN"/>
        </w:rPr>
        <w:t>1.</w:t>
      </w:r>
      <w:r>
        <w:rPr>
          <w:rFonts w:hint="eastAsia" w:ascii="仿宋" w:hAnsi="仿宋" w:eastAsia="仿宋" w:cs="仿宋"/>
          <w:b/>
          <w:sz w:val="32"/>
          <w:szCs w:val="32"/>
        </w:rPr>
        <w:t>项目支出预算执行情况</w:t>
      </w:r>
    </w:p>
    <w:p w14:paraId="0BC8FADF">
      <w:pPr>
        <w:widowControl/>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年初归集调入</w:t>
      </w:r>
      <w:r>
        <w:rPr>
          <w:rFonts w:hint="eastAsia" w:ascii="仿宋" w:hAnsi="仿宋" w:eastAsia="仿宋" w:cs="仿宋"/>
          <w:sz w:val="32"/>
          <w:szCs w:val="32"/>
          <w:lang w:val="en-US" w:eastAsia="zh-CN"/>
        </w:rPr>
        <w:t>5.555</w:t>
      </w:r>
      <w:r>
        <w:rPr>
          <w:rFonts w:hint="eastAsia" w:ascii="仿宋" w:hAnsi="仿宋" w:eastAsia="仿宋" w:cs="仿宋"/>
          <w:sz w:val="32"/>
          <w:szCs w:val="32"/>
          <w:lang w:eastAsia="zh-CN"/>
        </w:rPr>
        <w:t>万元，</w:t>
      </w:r>
      <w:r>
        <w:rPr>
          <w:rFonts w:hint="eastAsia" w:ascii="仿宋" w:hAnsi="仿宋" w:eastAsia="仿宋" w:cs="仿宋"/>
          <w:sz w:val="32"/>
          <w:szCs w:val="32"/>
        </w:rPr>
        <w:t>全年支出</w:t>
      </w:r>
      <w:r>
        <w:rPr>
          <w:rFonts w:hint="eastAsia" w:ascii="仿宋" w:hAnsi="仿宋" w:eastAsia="仿宋" w:cs="仿宋"/>
          <w:sz w:val="32"/>
          <w:szCs w:val="32"/>
          <w:lang w:val="en-US" w:eastAsia="zh-CN"/>
        </w:rPr>
        <w:t>5.555</w:t>
      </w:r>
      <w:r>
        <w:rPr>
          <w:rFonts w:hint="eastAsia" w:ascii="仿宋" w:hAnsi="仿宋" w:eastAsia="仿宋" w:cs="仿宋"/>
          <w:sz w:val="32"/>
          <w:szCs w:val="32"/>
        </w:rPr>
        <w:t>万元，执行率为100%。</w:t>
      </w:r>
    </w:p>
    <w:p w14:paraId="0769F4A8">
      <w:pPr>
        <w:spacing w:line="560" w:lineRule="exact"/>
        <w:ind w:firstLine="600"/>
        <w:rPr>
          <w:rFonts w:ascii="仿宋_GB2312" w:eastAsia="仿宋_GB2312"/>
          <w:b/>
          <w:szCs w:val="32"/>
        </w:rPr>
      </w:pPr>
      <w:r>
        <w:rPr>
          <w:rFonts w:hint="eastAsia" w:ascii="仿宋_GB2312" w:eastAsia="仿宋_GB2312"/>
          <w:b/>
          <w:szCs w:val="32"/>
        </w:rPr>
        <w:t xml:space="preserve"> </w:t>
      </w:r>
      <w:r>
        <w:rPr>
          <w:rFonts w:hint="eastAsia" w:ascii="仿宋_GB2312" w:eastAsia="仿宋_GB2312"/>
          <w:b/>
          <w:sz w:val="32"/>
          <w:szCs w:val="32"/>
        </w:rPr>
        <w:t>2.总体绩效目标完成情况分析</w:t>
      </w:r>
    </w:p>
    <w:p w14:paraId="636DAC30">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总体绩效目标已基本完成，管养的普通国省干线路容路貌良好，病害及时处治、路域环境卫生及时整治，桥涵运行状况良好，交安设施完善，完成情况较好。</w:t>
      </w:r>
    </w:p>
    <w:p w14:paraId="2D95466E">
      <w:pPr>
        <w:spacing w:line="560" w:lineRule="exact"/>
        <w:rPr>
          <w:rFonts w:ascii="仿宋_GB2312" w:eastAsia="仿宋_GB2312"/>
          <w:b/>
          <w:szCs w:val="32"/>
        </w:rPr>
      </w:pPr>
      <w:r>
        <w:rPr>
          <w:rFonts w:hint="eastAsia" w:ascii="仿宋_GB2312" w:eastAsia="仿宋_GB2312"/>
          <w:b/>
          <w:szCs w:val="32"/>
        </w:rPr>
        <w:t xml:space="preserve">    </w:t>
      </w:r>
      <w:r>
        <w:rPr>
          <w:rFonts w:hint="eastAsia" w:ascii="仿宋_GB2312" w:eastAsia="仿宋_GB2312"/>
          <w:b/>
          <w:szCs w:val="32"/>
          <w:lang w:val="en-US" w:eastAsia="zh-CN"/>
        </w:rPr>
        <w:t xml:space="preserve">  </w:t>
      </w:r>
      <w:r>
        <w:rPr>
          <w:rFonts w:hint="eastAsia" w:ascii="仿宋_GB2312" w:eastAsia="仿宋_GB2312"/>
          <w:b/>
          <w:sz w:val="32"/>
          <w:szCs w:val="32"/>
        </w:rPr>
        <w:t>3.各项指标完成情况分析</w:t>
      </w:r>
    </w:p>
    <w:p w14:paraId="0E6158B0">
      <w:pPr>
        <w:spacing w:line="560" w:lineRule="exact"/>
        <w:ind w:firstLine="600"/>
        <w:rPr>
          <w:rFonts w:hint="eastAsia" w:ascii="仿宋" w:hAnsi="仿宋" w:eastAsia="仿宋" w:cs="仿宋"/>
          <w:sz w:val="32"/>
          <w:szCs w:val="32"/>
        </w:rPr>
      </w:pPr>
      <w:r>
        <w:rPr>
          <w:rFonts w:hint="eastAsia" w:ascii="仿宋" w:hAnsi="仿宋" w:eastAsia="仿宋" w:cs="仿宋"/>
          <w:sz w:val="32"/>
          <w:szCs w:val="32"/>
        </w:rPr>
        <w:t>道路及附属设施日常养护完成率100%，道路及附属设施完善齐备，项目支出控制在预算范围内，无超预算情况发生，公路除部分施工路段外路网畅通，道路安全隐患处理及时，交通行业形象得到提升，加强资源保护、减少污染排放，服务对象满意度较好。</w:t>
      </w:r>
    </w:p>
    <w:p w14:paraId="7144FFCD">
      <w:pPr>
        <w:numPr>
          <w:ilvl w:val="0"/>
          <w:numId w:val="0"/>
        </w:numPr>
        <w:ind w:firstLine="643" w:firstLineChars="200"/>
        <w:rPr>
          <w:rFonts w:hint="eastAsia" w:ascii="仿宋_GB2312" w:hAnsi="仿宋_GB2312" w:eastAsia="仿宋_GB2312" w:cs="仿宋_GB2312"/>
          <w:b/>
          <w:bCs/>
          <w:color w:val="auto"/>
          <w:sz w:val="32"/>
          <w:szCs w:val="32"/>
          <w:lang w:val="en"/>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val="en"/>
        </w:rPr>
        <w:t>偏离绩效目标的原因及下一步改进措施（包括总体绩效目标和核心绩效指标未完成原因、下一步改进措施，政策执行或项目实施中存在的问题、原因和改进措施）</w:t>
      </w:r>
    </w:p>
    <w:p w14:paraId="7071459F">
      <w:pPr>
        <w:spacing w:line="560" w:lineRule="exact"/>
        <w:ind w:firstLine="640" w:firstLineChars="200"/>
        <w:rPr>
          <w:rFonts w:hint="default" w:ascii="楷体" w:hAnsi="楷体" w:eastAsia="楷体" w:cs="楷体"/>
          <w:b/>
          <w:bCs w:val="0"/>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w:t>
      </w:r>
      <w:r>
        <w:rPr>
          <w:rFonts w:hint="eastAsia" w:ascii="仿宋" w:hAnsi="仿宋" w:eastAsia="仿宋" w:cs="仿宋"/>
          <w:sz w:val="32"/>
          <w:szCs w:val="32"/>
          <w:lang w:eastAsia="zh-CN"/>
        </w:rPr>
        <w:t>路产赔补费资金</w:t>
      </w:r>
      <w:r>
        <w:rPr>
          <w:rFonts w:hint="eastAsia" w:ascii="仿宋" w:hAnsi="仿宋" w:eastAsia="仿宋" w:cs="仿宋"/>
          <w:sz w:val="32"/>
          <w:szCs w:val="32"/>
        </w:rPr>
        <w:t>绩效目标完成较好，预算资金实现了足额支出及支付。</w:t>
      </w:r>
    </w:p>
    <w:p w14:paraId="354D7B82">
      <w:pPr>
        <w:ind w:firstLine="640" w:firstLineChars="200"/>
        <w:rPr>
          <w:rFonts w:hint="eastAsia" w:ascii="仿宋_GB2312" w:hAnsi="仿宋_GB2312" w:eastAsia="仿宋_GB2312" w:cs="仿宋_GB2312"/>
          <w:color w:val="auto"/>
          <w:sz w:val="32"/>
          <w:szCs w:val="32"/>
          <w:lang w:val="en"/>
        </w:rPr>
      </w:pPr>
      <w:r>
        <w:rPr>
          <w:rFonts w:hint="eastAsia" w:ascii="黑体" w:hAnsi="黑体" w:eastAsia="黑体" w:cs="黑体"/>
          <w:color w:val="auto"/>
          <w:sz w:val="32"/>
          <w:szCs w:val="32"/>
          <w:lang w:val="en"/>
        </w:rPr>
        <w:t>五、部门管理的省对市县转移支付绩效自评情况分析</w:t>
      </w:r>
    </w:p>
    <w:p w14:paraId="56978C33">
      <w:pPr>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年我段</w:t>
      </w:r>
      <w:r>
        <w:rPr>
          <w:rFonts w:hint="eastAsia" w:ascii="仿宋" w:hAnsi="仿宋" w:eastAsia="仿宋" w:cs="仿宋"/>
          <w:sz w:val="32"/>
          <w:szCs w:val="32"/>
          <w:lang w:val="en"/>
        </w:rPr>
        <w:t>共管理的省</w:t>
      </w:r>
      <w:r>
        <w:rPr>
          <w:rFonts w:hint="eastAsia" w:ascii="仿宋" w:hAnsi="仿宋" w:eastAsia="仿宋" w:cs="仿宋"/>
          <w:sz w:val="32"/>
          <w:szCs w:val="32"/>
        </w:rPr>
        <w:t>无对市县转移支付资金。</w:t>
      </w:r>
    </w:p>
    <w:p w14:paraId="05D8B269">
      <w:pPr>
        <w:numPr>
          <w:ilvl w:val="0"/>
          <w:numId w:val="4"/>
        </w:numPr>
        <w:ind w:left="640" w:leftChars="0" w:firstLine="0" w:firstLineChars="0"/>
        <w:rPr>
          <w:rFonts w:hint="eastAsia" w:ascii="黑体" w:hAnsi="黑体" w:eastAsia="黑体" w:cs="黑体"/>
          <w:color w:val="auto"/>
          <w:sz w:val="32"/>
          <w:szCs w:val="32"/>
          <w:lang w:val="en"/>
        </w:rPr>
      </w:pPr>
      <w:r>
        <w:rPr>
          <w:rFonts w:hint="eastAsia" w:ascii="黑体" w:hAnsi="黑体" w:eastAsia="黑体" w:cs="黑体"/>
          <w:color w:val="auto"/>
          <w:sz w:val="32"/>
          <w:szCs w:val="32"/>
          <w:lang w:val="en"/>
        </w:rPr>
        <w:t>绩效自评结果拟应用和公开情况</w:t>
      </w:r>
    </w:p>
    <w:p w14:paraId="505E8BA4">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一是将绩效评价结果反馈至各资金使用部门，各资金使用部门根据绩效评价结果，进一步反馈整改，改进管理措施，提高管理水平，规范支出行为，降低支出成本，增强支出责任。</w:t>
      </w:r>
    </w:p>
    <w:p w14:paraId="41511803">
      <w:pPr>
        <w:spacing w:line="560" w:lineRule="exact"/>
        <w:rPr>
          <w:rFonts w:hint="eastAsia" w:ascii="仿宋" w:hAnsi="仿宋" w:eastAsia="仿宋" w:cs="仿宋"/>
          <w:sz w:val="32"/>
          <w:szCs w:val="32"/>
        </w:rPr>
      </w:pPr>
      <w:r>
        <w:rPr>
          <w:rFonts w:hint="eastAsia" w:ascii="仿宋" w:hAnsi="仿宋" w:eastAsia="仿宋" w:cs="仿宋"/>
          <w:sz w:val="32"/>
          <w:szCs w:val="32"/>
        </w:rPr>
        <w:t xml:space="preserve">    二是将评价结果与预算编制有机结合，将绩效跟踪和评价结果作为编制部门预算和安排资金的重要依据，本着“花钱必问效、无效必问责”的绩效理念，不断优化资源配置，提高财政资金使用效益。</w:t>
      </w:r>
    </w:p>
    <w:p w14:paraId="4C865F4F">
      <w:pPr>
        <w:spacing w:line="560" w:lineRule="exact"/>
        <w:rPr>
          <w:rFonts w:hint="eastAsia" w:ascii="黑体" w:hAnsi="黑体" w:eastAsia="黑体" w:cs="黑体"/>
          <w:color w:val="auto"/>
          <w:sz w:val="32"/>
          <w:szCs w:val="32"/>
          <w:lang w:val="en"/>
        </w:rPr>
      </w:pPr>
      <w:r>
        <w:rPr>
          <w:rFonts w:hint="eastAsia" w:ascii="仿宋" w:hAnsi="仿宋" w:eastAsia="仿宋" w:cs="仿宋"/>
          <w:sz w:val="32"/>
          <w:szCs w:val="32"/>
        </w:rPr>
        <w:t xml:space="preserve">    三是按照信息公开的有关规定，对一些社会关注度高、影响力大的民生和重点项目支出绩效情况，在一定范围内（一般为中心网站）依法公开，接受社会监督。</w:t>
      </w:r>
    </w:p>
    <w:p w14:paraId="76B4F87D">
      <w:pPr>
        <w:rPr>
          <w:rFonts w:hint="eastAsia" w:ascii="仿宋_GB2312" w:hAnsi="仿宋_GB2312" w:eastAsia="仿宋_GB2312" w:cs="仿宋_GB2312"/>
          <w:color w:val="auto"/>
          <w:sz w:val="32"/>
          <w:szCs w:val="32"/>
          <w:lang w:val="en"/>
        </w:rPr>
      </w:pPr>
      <w:r>
        <w:rPr>
          <w:rFonts w:hint="eastAsia" w:ascii="仿宋_GB2312" w:hAnsi="仿宋_GB2312" w:eastAsia="仿宋_GB2312" w:cs="仿宋_GB2312"/>
          <w:color w:val="auto"/>
          <w:sz w:val="32"/>
          <w:szCs w:val="32"/>
          <w:lang w:val="en"/>
        </w:rPr>
        <w:t xml:space="preserve">   </w:t>
      </w:r>
      <w:r>
        <w:rPr>
          <w:rFonts w:hint="eastAsia" w:ascii="黑体" w:hAnsi="黑体" w:eastAsia="黑体" w:cs="黑体"/>
          <w:color w:val="auto"/>
          <w:sz w:val="32"/>
          <w:szCs w:val="32"/>
          <w:lang w:val="en"/>
        </w:rPr>
        <w:t xml:space="preserve"> 七、其他需要说明的问题</w:t>
      </w:r>
    </w:p>
    <w:p w14:paraId="329CDEA9">
      <w:pPr>
        <w:ind w:firstLine="640" w:firstLineChars="200"/>
        <w:rPr>
          <w:rFonts w:hint="eastAsia" w:ascii="仿宋_GB2312" w:hAnsi="仿宋_GB2312" w:eastAsia="仿宋_GB2312" w:cs="仿宋_GB2312"/>
          <w:color w:val="auto"/>
          <w:sz w:val="32"/>
          <w:szCs w:val="32"/>
          <w:lang w:val="en" w:eastAsia="zh-CN"/>
        </w:rPr>
      </w:pPr>
      <w:r>
        <w:rPr>
          <w:rFonts w:hint="eastAsia" w:ascii="仿宋_GB2312" w:hAnsi="仿宋_GB2312" w:eastAsia="仿宋_GB2312" w:cs="仿宋_GB2312"/>
          <w:color w:val="auto"/>
          <w:sz w:val="32"/>
          <w:szCs w:val="32"/>
          <w:lang w:val="en" w:eastAsia="zh-CN"/>
        </w:rPr>
        <w:t>无。</w:t>
      </w:r>
    </w:p>
    <w:p w14:paraId="3980E21A">
      <w:pPr>
        <w:rPr>
          <w:rFonts w:hint="eastAsia" w:ascii="仿宋_GB2312" w:hAnsi="仿宋_GB2312" w:eastAsia="仿宋_GB2312" w:cs="仿宋_GB2312"/>
          <w:color w:val="auto"/>
          <w:sz w:val="32"/>
          <w:szCs w:val="32"/>
          <w:lang w:val="en"/>
        </w:rPr>
      </w:pPr>
    </w:p>
    <w:p w14:paraId="45B0DB1E">
      <w:pPr>
        <w:rPr>
          <w:rFonts w:hint="eastAsia" w:ascii="仿宋_GB2312" w:hAnsi="仿宋_GB2312" w:eastAsia="仿宋_GB2312" w:cs="仿宋_GB2312"/>
          <w:color w:val="auto"/>
          <w:sz w:val="32"/>
          <w:szCs w:val="32"/>
          <w:lang w:val="en"/>
        </w:rPr>
      </w:pPr>
    </w:p>
    <w:p w14:paraId="41826EA4">
      <w:pPr>
        <w:rPr>
          <w:rFonts w:hint="eastAsia" w:ascii="仿宋_GB2312" w:hAnsi="仿宋_GB2312" w:eastAsia="仿宋_GB2312" w:cs="仿宋_GB2312"/>
          <w:color w:val="auto"/>
          <w:sz w:val="32"/>
          <w:szCs w:val="32"/>
          <w:lang w:val="en"/>
        </w:rPr>
      </w:pPr>
    </w:p>
    <w:p w14:paraId="513D1C0E">
      <w:pPr>
        <w:rPr>
          <w:rFonts w:hint="eastAsia" w:ascii="仿宋_GB2312" w:hAnsi="仿宋_GB2312" w:eastAsia="仿宋_GB2312" w:cs="仿宋_GB2312"/>
          <w:color w:val="auto"/>
          <w:sz w:val="32"/>
          <w:szCs w:val="32"/>
          <w:lang w:val="en"/>
        </w:rPr>
      </w:pPr>
    </w:p>
    <w:p w14:paraId="0CAFAE34">
      <w:pPr>
        <w:rPr>
          <w:rFonts w:hint="eastAsia" w:ascii="仿宋_GB2312" w:hAnsi="仿宋_GB2312" w:eastAsia="仿宋_GB2312" w:cs="仿宋_GB2312"/>
          <w:color w:val="auto"/>
          <w:sz w:val="32"/>
          <w:szCs w:val="32"/>
          <w:lang w:val="en"/>
        </w:rPr>
      </w:pPr>
    </w:p>
    <w:p w14:paraId="1E38608C">
      <w:pPr>
        <w:rPr>
          <w:rFonts w:hint="eastAsia" w:ascii="仿宋_GB2312" w:hAnsi="仿宋_GB2312" w:eastAsia="仿宋_GB2312" w:cs="仿宋_GB2312"/>
          <w:color w:val="auto"/>
          <w:sz w:val="32"/>
          <w:szCs w:val="32"/>
          <w:lang w:val="en"/>
        </w:rPr>
      </w:pPr>
    </w:p>
    <w:p w14:paraId="4F0E421D">
      <w:pPr>
        <w:rPr>
          <w:rFonts w:hint="eastAsia" w:ascii="仿宋_GB2312" w:hAnsi="仿宋_GB2312" w:eastAsia="仿宋_GB2312" w:cs="仿宋_GB2312"/>
          <w:color w:val="auto"/>
          <w:sz w:val="32"/>
          <w:szCs w:val="32"/>
          <w:lang w:val="en"/>
        </w:rPr>
      </w:pPr>
    </w:p>
    <w:p w14:paraId="073B3307">
      <w:pPr>
        <w:rPr>
          <w:rFonts w:hint="eastAsia" w:ascii="仿宋_GB2312" w:hAnsi="仿宋_GB2312" w:eastAsia="仿宋_GB2312" w:cs="仿宋_GB2312"/>
          <w:color w:val="auto"/>
          <w:sz w:val="32"/>
          <w:szCs w:val="32"/>
          <w:lang w:val="en"/>
        </w:rPr>
      </w:pPr>
    </w:p>
    <w:p w14:paraId="3AF1280F">
      <w:pPr>
        <w:rPr>
          <w:rFonts w:hint="default"/>
          <w:color w:val="auto"/>
          <w:lang w:val="en"/>
        </w:rPr>
      </w:pPr>
    </w:p>
    <w:p w14:paraId="268E656F">
      <w:pPr>
        <w:rPr>
          <w:rFonts w:hint="default"/>
          <w:color w:val="auto"/>
          <w:lang w:val="en"/>
        </w:rPr>
      </w:pPr>
    </w:p>
    <w:p w14:paraId="18C21C38">
      <w:pPr>
        <w:rPr>
          <w:rFonts w:hint="default"/>
          <w:color w:val="auto"/>
          <w:lang w:val="en"/>
        </w:rPr>
      </w:pPr>
    </w:p>
    <w:p w14:paraId="7FCBA689">
      <w:pPr>
        <w:rPr>
          <w:rFonts w:hint="default"/>
          <w:color w:val="auto"/>
          <w:lang w:val="en"/>
        </w:rPr>
      </w:pPr>
    </w:p>
    <w:p w14:paraId="7D363F0B">
      <w:pPr>
        <w:rPr>
          <w:rFonts w:hint="default"/>
          <w:color w:val="auto"/>
          <w:lang w:val="en"/>
        </w:rPr>
      </w:pPr>
    </w:p>
    <w:p w14:paraId="1942B68F">
      <w:pPr>
        <w:rPr>
          <w:rFonts w:hint="default"/>
          <w:color w:val="auto"/>
          <w:lang w:val="e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B80A6F"/>
    <w:multiLevelType w:val="singleLevel"/>
    <w:tmpl w:val="86B80A6F"/>
    <w:lvl w:ilvl="0" w:tentative="0">
      <w:start w:val="2"/>
      <w:numFmt w:val="chineseCounting"/>
      <w:suff w:val="nothing"/>
      <w:lvlText w:val="（%1）"/>
      <w:lvlJc w:val="left"/>
      <w:pPr>
        <w:ind w:left="480" w:firstLine="0"/>
      </w:pPr>
      <w:rPr>
        <w:rFonts w:hint="eastAsia"/>
      </w:rPr>
    </w:lvl>
  </w:abstractNum>
  <w:abstractNum w:abstractNumId="1">
    <w:nsid w:val="25C7D66F"/>
    <w:multiLevelType w:val="singleLevel"/>
    <w:tmpl w:val="25C7D66F"/>
    <w:lvl w:ilvl="0" w:tentative="0">
      <w:start w:val="3"/>
      <w:numFmt w:val="chineseCounting"/>
      <w:suff w:val="nothing"/>
      <w:lvlText w:val="（%1）"/>
      <w:lvlJc w:val="left"/>
      <w:pPr>
        <w:ind w:left="606" w:firstLine="0"/>
      </w:pPr>
      <w:rPr>
        <w:rFonts w:hint="eastAsia"/>
      </w:rPr>
    </w:lvl>
  </w:abstractNum>
  <w:abstractNum w:abstractNumId="2">
    <w:nsid w:val="40F28D41"/>
    <w:multiLevelType w:val="singleLevel"/>
    <w:tmpl w:val="40F28D41"/>
    <w:lvl w:ilvl="0" w:tentative="0">
      <w:start w:val="6"/>
      <w:numFmt w:val="chineseCounting"/>
      <w:suff w:val="nothing"/>
      <w:lvlText w:val="%1、"/>
      <w:lvlJc w:val="left"/>
      <w:pPr>
        <w:ind w:left="640" w:firstLine="0"/>
      </w:pPr>
      <w:rPr>
        <w:rFonts w:hint="eastAsia"/>
      </w:rPr>
    </w:lvl>
  </w:abstractNum>
  <w:abstractNum w:abstractNumId="3">
    <w:nsid w:val="4A914734"/>
    <w:multiLevelType w:val="singleLevel"/>
    <w:tmpl w:val="4A914734"/>
    <w:lvl w:ilvl="0" w:tentative="0">
      <w:start w:val="7"/>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lNDlkZjA2YzY5MzBhMGMwMTg2YzVlZDQ4ZDExMjUifQ=="/>
  </w:docVars>
  <w:rsids>
    <w:rsidRoot w:val="00000000"/>
    <w:rsid w:val="00315374"/>
    <w:rsid w:val="012B1F1A"/>
    <w:rsid w:val="02321BE7"/>
    <w:rsid w:val="09C52343"/>
    <w:rsid w:val="121D3BF2"/>
    <w:rsid w:val="1B5B4D0E"/>
    <w:rsid w:val="1E7D3F65"/>
    <w:rsid w:val="263E3BD6"/>
    <w:rsid w:val="275659E4"/>
    <w:rsid w:val="283279E7"/>
    <w:rsid w:val="3B145AF3"/>
    <w:rsid w:val="3B9B57B3"/>
    <w:rsid w:val="3C1B58D0"/>
    <w:rsid w:val="3CA20F3E"/>
    <w:rsid w:val="3E01082B"/>
    <w:rsid w:val="3EAB0813"/>
    <w:rsid w:val="45977A58"/>
    <w:rsid w:val="466B1368"/>
    <w:rsid w:val="498870C0"/>
    <w:rsid w:val="4E32583D"/>
    <w:rsid w:val="54532EC8"/>
    <w:rsid w:val="555C5367"/>
    <w:rsid w:val="55E92A2C"/>
    <w:rsid w:val="609822CE"/>
    <w:rsid w:val="60D37068"/>
    <w:rsid w:val="630914CB"/>
    <w:rsid w:val="64CE2822"/>
    <w:rsid w:val="65B8405B"/>
    <w:rsid w:val="669F6161"/>
    <w:rsid w:val="72760055"/>
    <w:rsid w:val="7BEDA395"/>
    <w:rsid w:val="7D578A46"/>
    <w:rsid w:val="7F5B2429"/>
    <w:rsid w:val="7FB56661"/>
    <w:rsid w:val="BB5E5A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character" w:customStyle="1" w:styleId="4">
    <w:name w:val="font71"/>
    <w:basedOn w:val="3"/>
    <w:uiPriority w:val="0"/>
    <w:rPr>
      <w:rFonts w:ascii="仿宋_GB2312" w:eastAsia="仿宋_GB2312" w:cs="仿宋_GB2312"/>
      <w:color w:val="000000"/>
      <w:sz w:val="44"/>
      <w:szCs w:val="44"/>
      <w:u w:val="none"/>
    </w:rPr>
  </w:style>
  <w:style w:type="character" w:customStyle="1" w:styleId="5">
    <w:name w:val="font51"/>
    <w:basedOn w:val="3"/>
    <w:uiPriority w:val="0"/>
    <w:rPr>
      <w:rFonts w:hint="eastAsia" w:ascii="黑体" w:hAnsi="宋体" w:eastAsia="黑体" w:cs="黑体"/>
      <w:color w:val="000000"/>
      <w:sz w:val="32"/>
      <w:szCs w:val="32"/>
      <w:u w:val="none"/>
    </w:rPr>
  </w:style>
  <w:style w:type="character" w:customStyle="1" w:styleId="6">
    <w:name w:val="font11"/>
    <w:basedOn w:val="3"/>
    <w:uiPriority w:val="0"/>
    <w:rPr>
      <w:rFonts w:ascii="Arial" w:hAnsi="Arial" w:cs="Arial"/>
      <w:color w:val="000000"/>
      <w:sz w:val="32"/>
      <w:szCs w:val="32"/>
      <w:u w:val="none"/>
    </w:rPr>
  </w:style>
  <w:style w:type="character" w:customStyle="1" w:styleId="7">
    <w:name w:val="font61"/>
    <w:basedOn w:val="3"/>
    <w:uiPriority w:val="0"/>
    <w:rPr>
      <w:rFonts w:hint="eastAsia" w:ascii="楷体" w:hAnsi="楷体" w:eastAsia="楷体" w:cs="楷体"/>
      <w:color w:val="000000"/>
      <w:sz w:val="32"/>
      <w:szCs w:val="32"/>
      <w:u w:val="none"/>
    </w:rPr>
  </w:style>
  <w:style w:type="character" w:customStyle="1" w:styleId="8">
    <w:name w:val="font01"/>
    <w:basedOn w:val="3"/>
    <w:uiPriority w:val="0"/>
    <w:rPr>
      <w:rFonts w:hint="eastAsia" w:ascii="仿宋_GB2312" w:eastAsia="仿宋_GB2312" w:cs="仿宋_GB2312"/>
      <w:color w:val="000000"/>
      <w:sz w:val="32"/>
      <w:szCs w:val="32"/>
      <w:u w:val="none"/>
    </w:rPr>
  </w:style>
  <w:style w:type="character" w:customStyle="1" w:styleId="9">
    <w:name w:val="font21"/>
    <w:basedOn w:val="3"/>
    <w:uiPriority w:val="0"/>
    <w:rPr>
      <w:rFonts w:hint="eastAsia" w:ascii="宋体" w:hAnsi="宋体" w:eastAsia="宋体" w:cs="宋体"/>
      <w:b/>
      <w:color w:val="000000"/>
      <w:sz w:val="44"/>
      <w:szCs w:val="4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5530</Words>
  <Characters>5874</Characters>
  <Lines>0</Lines>
  <Paragraphs>0</Paragraphs>
  <TotalTime>0</TotalTime>
  <ScaleCrop>false</ScaleCrop>
  <LinksUpToDate>false</LinksUpToDate>
  <CharactersWithSpaces>5938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歌·颂</cp:lastModifiedBy>
  <dcterms:modified xsi:type="dcterms:W3CDTF">2024-09-19T02:47:48Z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64719575265F469AB8F8B65BAE46FFEF_13</vt:lpwstr>
  </property>
</Properties>
</file>